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800" w:type="pct"/>
        <w:tblBorders>
          <w:left w:val="single" w:sz="18" w:space="0" w:color="4F81BD" w:themeColor="accent1"/>
        </w:tblBorders>
        <w:tblLook w:val="04A0" w:firstRow="1" w:lastRow="0" w:firstColumn="1" w:lastColumn="0" w:noHBand="0" w:noVBand="1"/>
      </w:tblPr>
      <w:tblGrid>
        <w:gridCol w:w="8195"/>
      </w:tblGrid>
      <w:tr w:rsidR="00F36F10" w:rsidTr="00F36F10">
        <w:tc>
          <w:tcPr>
            <w:tcW w:w="8195" w:type="dxa"/>
            <w:tcMar>
              <w:top w:w="216" w:type="dxa"/>
              <w:left w:w="115" w:type="dxa"/>
              <w:bottom w:w="216" w:type="dxa"/>
              <w:right w:w="115" w:type="dxa"/>
            </w:tcMar>
          </w:tcPr>
          <w:p w:rsidR="00F36F10" w:rsidRPr="00F36F10" w:rsidRDefault="00F36F10">
            <w:pPr>
              <w:pStyle w:val="NoSpacing"/>
              <w:rPr>
                <w:rFonts w:asciiTheme="majorHAnsi" w:eastAsiaTheme="majorEastAsia" w:hAnsiTheme="majorHAnsi" w:cstheme="majorBidi"/>
                <w:sz w:val="48"/>
                <w:szCs w:val="48"/>
              </w:rPr>
            </w:pPr>
          </w:p>
        </w:tc>
      </w:tr>
      <w:tr w:rsidR="00F36F10" w:rsidRPr="00F36F10" w:rsidTr="00F36F10">
        <w:tc>
          <w:tcPr>
            <w:tcW w:w="8195" w:type="dxa"/>
          </w:tcPr>
          <w:p w:rsidR="00F36F10" w:rsidRPr="00F36F10" w:rsidRDefault="00F36F10" w:rsidP="00F36F10">
            <w:pPr>
              <w:pStyle w:val="NoSpacing"/>
              <w:rPr>
                <w:rFonts w:ascii="Arial" w:eastAsiaTheme="majorEastAsia" w:hAnsi="Arial" w:cs="Arial"/>
                <w:color w:val="4F81BD" w:themeColor="accent1"/>
                <w:sz w:val="48"/>
                <w:szCs w:val="48"/>
              </w:rPr>
            </w:pPr>
            <w:r w:rsidRPr="00F36F10">
              <w:rPr>
                <w:rFonts w:ascii="Arial" w:eastAsiaTheme="majorEastAsia" w:hAnsi="Arial" w:cs="Arial"/>
                <w:sz w:val="48"/>
                <w:szCs w:val="48"/>
              </w:rPr>
              <w:t xml:space="preserve">East Midlands </w:t>
            </w:r>
            <w:r w:rsidRPr="00F36F10">
              <w:rPr>
                <w:rFonts w:ascii="Arial" w:eastAsiaTheme="majorEastAsia" w:hAnsi="Arial" w:cs="Arial"/>
                <w:sz w:val="48"/>
                <w:szCs w:val="48"/>
                <w:lang w:val="en-GB"/>
              </w:rPr>
              <w:t xml:space="preserve">Simulation Strategy </w:t>
            </w:r>
          </w:p>
        </w:tc>
      </w:tr>
      <w:tr w:rsidR="00F36F10" w:rsidRPr="00F36F10" w:rsidTr="00F36F10">
        <w:trPr>
          <w:trHeight w:val="14"/>
        </w:trPr>
        <w:tc>
          <w:tcPr>
            <w:tcW w:w="8195" w:type="dxa"/>
            <w:tcMar>
              <w:top w:w="216" w:type="dxa"/>
              <w:left w:w="115" w:type="dxa"/>
              <w:bottom w:w="216" w:type="dxa"/>
              <w:right w:w="115" w:type="dxa"/>
            </w:tcMar>
          </w:tcPr>
          <w:p w:rsidR="00F36F10" w:rsidRPr="00F36F10" w:rsidRDefault="00F36F10" w:rsidP="00F36F10">
            <w:pPr>
              <w:pStyle w:val="NoSpacing"/>
              <w:rPr>
                <w:rFonts w:ascii="Arial" w:eastAsiaTheme="majorEastAsia" w:hAnsi="Arial" w:cs="Arial"/>
                <w:sz w:val="48"/>
                <w:szCs w:val="48"/>
              </w:rPr>
            </w:pPr>
            <w:r w:rsidRPr="00F36F10">
              <w:rPr>
                <w:rFonts w:ascii="Arial" w:eastAsiaTheme="majorEastAsia" w:hAnsi="Arial" w:cs="Arial"/>
                <w:sz w:val="48"/>
                <w:szCs w:val="48"/>
              </w:rPr>
              <w:t>2010 - 2015</w:t>
            </w:r>
          </w:p>
        </w:tc>
      </w:tr>
    </w:tbl>
    <w:p w:rsidR="00F36F10" w:rsidRPr="00F36F10" w:rsidRDefault="00F36F10">
      <w:pPr>
        <w:rPr>
          <w:rFonts w:ascii="Arial" w:hAnsi="Arial" w:cs="Arial"/>
          <w:sz w:val="36"/>
          <w:szCs w:val="36"/>
        </w:rPr>
      </w:pPr>
    </w:p>
    <w:p w:rsidR="00F36F10" w:rsidRPr="00F36F10" w:rsidRDefault="00095CCE" w:rsidP="00F36F10">
      <w:pPr>
        <w:jc w:val="right"/>
        <w:rPr>
          <w:rFonts w:ascii="Arial" w:hAnsi="Arial" w:cs="Arial"/>
          <w:sz w:val="36"/>
          <w:szCs w:val="36"/>
        </w:rPr>
      </w:pPr>
      <w:r>
        <w:rPr>
          <w:rFonts w:ascii="Arial" w:hAnsi="Arial" w:cs="Arial"/>
          <w:noProof/>
        </w:rPr>
        <w:drawing>
          <wp:inline distT="0" distB="0" distL="0" distR="0">
            <wp:extent cx="2895600" cy="685800"/>
            <wp:effectExtent l="19050" t="0" r="0" b="0"/>
            <wp:docPr id="1" name="Picture 1" descr="East Midlands hwd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Midlands hwd ColA"/>
                    <pic:cNvPicPr>
                      <a:picLocks noChangeAspect="1" noChangeArrowheads="1"/>
                    </pic:cNvPicPr>
                  </pic:nvPicPr>
                  <pic:blipFill>
                    <a:blip r:embed="rId8" cstate="print"/>
                    <a:srcRect/>
                    <a:stretch>
                      <a:fillRect/>
                    </a:stretch>
                  </pic:blipFill>
                  <pic:spPr bwMode="auto">
                    <a:xfrm>
                      <a:off x="0" y="0"/>
                      <a:ext cx="2895600" cy="685800"/>
                    </a:xfrm>
                    <a:prstGeom prst="rect">
                      <a:avLst/>
                    </a:prstGeom>
                    <a:noFill/>
                    <a:ln w="9525">
                      <a:noFill/>
                      <a:miter lim="800000"/>
                      <a:headEnd/>
                      <a:tailEnd/>
                    </a:ln>
                  </pic:spPr>
                </pic:pic>
              </a:graphicData>
            </a:graphic>
          </wp:inline>
        </w:drawing>
      </w: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F36F10" w:rsidRDefault="00F36F10" w:rsidP="00F36F10">
      <w:pPr>
        <w:jc w:val="center"/>
        <w:rPr>
          <w:rFonts w:ascii="Arial" w:hAnsi="Arial" w:cs="Arial"/>
          <w:sz w:val="36"/>
          <w:szCs w:val="36"/>
        </w:rPr>
      </w:pPr>
    </w:p>
    <w:p w:rsidR="00040DF6" w:rsidRPr="00A76D13" w:rsidRDefault="004073C1" w:rsidP="00F36F10">
      <w:pPr>
        <w:jc w:val="center"/>
        <w:rPr>
          <w:rFonts w:ascii="Arial" w:hAnsi="Arial" w:cs="Arial"/>
          <w:b/>
          <w:sz w:val="28"/>
          <w:szCs w:val="28"/>
        </w:rPr>
      </w:pPr>
      <w:bookmarkStart w:id="0" w:name="_GoBack"/>
      <w:r>
        <w:rPr>
          <w:rFonts w:ascii="Arial" w:hAnsi="Arial" w:cs="Arial"/>
          <w:noProof/>
          <w:sz w:val="36"/>
          <w:szCs w:val="36"/>
        </w:rPr>
        <w:drawing>
          <wp:inline distT="0" distB="0" distL="0" distR="0">
            <wp:extent cx="4105275" cy="1903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lation logo.jpg"/>
                    <pic:cNvPicPr/>
                  </pic:nvPicPr>
                  <pic:blipFill>
                    <a:blip r:embed="rId9">
                      <a:extLst>
                        <a:ext uri="{28A0092B-C50C-407E-A947-70E740481C1C}">
                          <a14:useLocalDpi xmlns:a14="http://schemas.microsoft.com/office/drawing/2010/main" val="0"/>
                        </a:ext>
                      </a:extLst>
                    </a:blip>
                    <a:stretch>
                      <a:fillRect/>
                    </a:stretch>
                  </pic:blipFill>
                  <pic:spPr>
                    <a:xfrm>
                      <a:off x="0" y="0"/>
                      <a:ext cx="4103299" cy="1902951"/>
                    </a:xfrm>
                    <a:prstGeom prst="rect">
                      <a:avLst/>
                    </a:prstGeom>
                  </pic:spPr>
                </pic:pic>
              </a:graphicData>
            </a:graphic>
          </wp:inline>
        </w:drawing>
      </w:r>
      <w:bookmarkEnd w:id="0"/>
      <w:r w:rsidR="00F36F10" w:rsidRPr="00F36F10">
        <w:rPr>
          <w:rFonts w:ascii="Arial" w:hAnsi="Arial" w:cs="Arial"/>
          <w:sz w:val="36"/>
          <w:szCs w:val="36"/>
        </w:rPr>
        <w:br w:type="page"/>
      </w:r>
      <w:r w:rsidR="00040DF6" w:rsidRPr="00A76D13">
        <w:rPr>
          <w:rFonts w:ascii="Arial" w:hAnsi="Arial" w:cs="Arial"/>
          <w:b/>
          <w:sz w:val="28"/>
          <w:szCs w:val="28"/>
        </w:rPr>
        <w:lastRenderedPageBreak/>
        <w:t>SIMULATION STRATEGY</w:t>
      </w:r>
      <w:r w:rsidR="00040DF6">
        <w:rPr>
          <w:rFonts w:ascii="Arial" w:hAnsi="Arial" w:cs="Arial"/>
          <w:b/>
          <w:sz w:val="28"/>
          <w:szCs w:val="28"/>
        </w:rPr>
        <w:t xml:space="preserve"> 2010 - 2015</w:t>
      </w:r>
    </w:p>
    <w:p w:rsidR="00DE4516" w:rsidRPr="0003314B" w:rsidRDefault="00DE4516" w:rsidP="00DE4516">
      <w:pPr>
        <w:jc w:val="both"/>
        <w:rPr>
          <w:rFonts w:ascii="Arial" w:hAnsi="Arial" w:cs="Arial"/>
        </w:rPr>
      </w:pPr>
    </w:p>
    <w:p w:rsidR="00DE4516" w:rsidRPr="0003314B" w:rsidRDefault="00DE4516" w:rsidP="00DE4516">
      <w:pPr>
        <w:jc w:val="both"/>
        <w:rPr>
          <w:rFonts w:ascii="Arial" w:hAnsi="Arial" w:cs="Arial"/>
        </w:rPr>
      </w:pPr>
    </w:p>
    <w:p w:rsidR="00DE4516" w:rsidRPr="0003314B" w:rsidRDefault="00DE4516" w:rsidP="00DE4516">
      <w:pPr>
        <w:jc w:val="both"/>
        <w:rPr>
          <w:rFonts w:ascii="Arial" w:hAnsi="Arial" w:cs="Arial"/>
        </w:rPr>
      </w:pPr>
      <w:r w:rsidRPr="0003314B">
        <w:rPr>
          <w:rFonts w:ascii="Arial" w:hAnsi="Arial" w:cs="Arial"/>
        </w:rPr>
        <w:t>INTRODUCTION</w:t>
      </w:r>
    </w:p>
    <w:p w:rsidR="00DE4516" w:rsidRPr="0003314B" w:rsidRDefault="00DE4516" w:rsidP="00DE4516">
      <w:pPr>
        <w:jc w:val="both"/>
        <w:rPr>
          <w:rFonts w:ascii="Arial" w:hAnsi="Arial" w:cs="Arial"/>
        </w:rPr>
      </w:pPr>
    </w:p>
    <w:p w:rsidR="00DE4516" w:rsidRPr="0003314B" w:rsidRDefault="00DE4516" w:rsidP="00DE4516">
      <w:pPr>
        <w:jc w:val="both"/>
        <w:rPr>
          <w:rFonts w:ascii="Arial" w:hAnsi="Arial" w:cs="Arial"/>
        </w:rPr>
      </w:pPr>
      <w:r>
        <w:rPr>
          <w:rFonts w:ascii="Arial" w:hAnsi="Arial" w:cs="Arial"/>
        </w:rPr>
        <w:t xml:space="preserve">In his 2008 Annual Report, the Chief Medical Officer stated that “Simulation offers an important route to safer care for patients and needs to be more fully integrated into the health service” (Department of Health, 2008). Following this report, in the latter part of 2009, the Department of Health commissioned a survey of simulation facilities, resources, equipment and strategic approaches across </w:t>
      </w:r>
      <w:smartTag w:uri="urn:schemas-microsoft-com:office:smarttags" w:element="place">
        <w:smartTag w:uri="urn:schemas-microsoft-com:office:smarttags" w:element="country-region">
          <w:r>
            <w:rPr>
              <w:rFonts w:ascii="Arial" w:hAnsi="Arial" w:cs="Arial"/>
            </w:rPr>
            <w:t>England</w:t>
          </w:r>
        </w:smartTag>
      </w:smartTag>
      <w:r>
        <w:rPr>
          <w:rFonts w:ascii="Arial" w:hAnsi="Arial" w:cs="Arial"/>
        </w:rPr>
        <w:t xml:space="preserve">. This </w:t>
      </w:r>
      <w:r w:rsidR="00040DF6">
        <w:rPr>
          <w:rFonts w:ascii="Arial" w:hAnsi="Arial" w:cs="Arial"/>
        </w:rPr>
        <w:t>proposal</w:t>
      </w:r>
      <w:r>
        <w:rPr>
          <w:rFonts w:ascii="Arial" w:hAnsi="Arial" w:cs="Arial"/>
        </w:rPr>
        <w:t xml:space="preserve"> builds on that initiative and sets out a strategic direction for the development of simulation within the </w:t>
      </w:r>
      <w:smartTag w:uri="urn:schemas-microsoft-com:office:smarttags" w:element="place">
        <w:r>
          <w:rPr>
            <w:rFonts w:ascii="Arial" w:hAnsi="Arial" w:cs="Arial"/>
          </w:rPr>
          <w:t>East Midlands</w:t>
        </w:r>
      </w:smartTag>
      <w:r>
        <w:rPr>
          <w:rFonts w:ascii="Arial" w:hAnsi="Arial" w:cs="Arial"/>
        </w:rPr>
        <w:t xml:space="preserve"> over the next four years.</w:t>
      </w:r>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p>
    <w:p w:rsidR="00DE4516" w:rsidRPr="0003314B" w:rsidRDefault="004073C1" w:rsidP="00DE4516">
      <w:pPr>
        <w:jc w:val="both"/>
        <w:rPr>
          <w:rFonts w:ascii="Arial" w:hAnsi="Arial" w:cs="Arial"/>
        </w:rPr>
      </w:pPr>
      <w:r>
        <w:rPr>
          <w:rFonts w:ascii="Arial" w:hAnsi="Arial" w:cs="Arial"/>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09.3pt;height:180.8pt;z-index:251658240;mso-position-horizontal:center;mso-width-relative:margin;mso-height-relative:margin">
            <v:textbox>
              <w:txbxContent>
                <w:p w:rsidR="00B97795" w:rsidRPr="00A443D3" w:rsidRDefault="00B97795" w:rsidP="00DE4516">
                  <w:pPr>
                    <w:rPr>
                      <w:rFonts w:ascii="Arial" w:hAnsi="Arial" w:cs="Arial"/>
                      <w:color w:val="000000"/>
                      <w:u w:val="single"/>
                    </w:rPr>
                  </w:pPr>
                  <w:r w:rsidRPr="00A443D3">
                    <w:rPr>
                      <w:rFonts w:ascii="Arial" w:hAnsi="Arial" w:cs="Arial"/>
                      <w:color w:val="000000"/>
                      <w:u w:val="single"/>
                    </w:rPr>
                    <w:t xml:space="preserve">Key Points for the </w:t>
                  </w:r>
                  <w:smartTag w:uri="urn:schemas-microsoft-com:office:smarttags" w:element="place">
                    <w:r w:rsidRPr="00A443D3">
                      <w:rPr>
                        <w:rFonts w:ascii="Arial" w:hAnsi="Arial" w:cs="Arial"/>
                        <w:color w:val="000000"/>
                        <w:u w:val="single"/>
                      </w:rPr>
                      <w:t>East Midlands</w:t>
                    </w:r>
                  </w:smartTag>
                </w:p>
                <w:p w:rsidR="00B97795" w:rsidRPr="00A443D3" w:rsidRDefault="00B97795" w:rsidP="00DE4516">
                  <w:pPr>
                    <w:rPr>
                      <w:rFonts w:ascii="Arial" w:hAnsi="Arial" w:cs="Arial"/>
                      <w:color w:val="000000"/>
                    </w:rPr>
                  </w:pPr>
                </w:p>
                <w:p w:rsidR="00B97795" w:rsidRPr="00A443D3" w:rsidRDefault="00B97795" w:rsidP="00DE4516">
                  <w:pPr>
                    <w:jc w:val="both"/>
                    <w:rPr>
                      <w:rFonts w:ascii="Arial" w:hAnsi="Arial" w:cs="Arial"/>
                      <w:color w:val="000000"/>
                    </w:rPr>
                  </w:pPr>
                  <w:r w:rsidRPr="00A443D3">
                    <w:rPr>
                      <w:rFonts w:ascii="Arial" w:hAnsi="Arial" w:cs="Arial"/>
                      <w:color w:val="000000"/>
                    </w:rPr>
                    <w:t>Improved access to simulation facilities, equipment, skilled personnel and learning opportunities</w:t>
                  </w:r>
                </w:p>
                <w:p w:rsidR="00B97795" w:rsidRPr="00A443D3" w:rsidRDefault="00B97795" w:rsidP="00DE4516">
                  <w:pPr>
                    <w:jc w:val="both"/>
                    <w:rPr>
                      <w:rFonts w:ascii="Arial" w:hAnsi="Arial" w:cs="Arial"/>
                      <w:color w:val="000000"/>
                    </w:rPr>
                  </w:pPr>
                </w:p>
                <w:p w:rsidR="00B97795" w:rsidRPr="00A443D3" w:rsidRDefault="00B97795" w:rsidP="00DE4516">
                  <w:pPr>
                    <w:jc w:val="both"/>
                    <w:rPr>
                      <w:rFonts w:ascii="Arial" w:hAnsi="Arial" w:cs="Arial"/>
                      <w:color w:val="000000"/>
                    </w:rPr>
                  </w:pPr>
                  <w:r w:rsidRPr="00A443D3">
                    <w:rPr>
                      <w:rFonts w:ascii="Arial" w:hAnsi="Arial" w:cs="Arial"/>
                      <w:color w:val="000000"/>
                    </w:rPr>
                    <w:t>Development of a distributed network</w:t>
                  </w:r>
                </w:p>
                <w:p w:rsidR="00B97795" w:rsidRPr="00A443D3" w:rsidRDefault="00B97795" w:rsidP="00DE4516">
                  <w:pPr>
                    <w:jc w:val="both"/>
                    <w:rPr>
                      <w:rFonts w:ascii="Arial" w:hAnsi="Arial" w:cs="Arial"/>
                      <w:color w:val="000000"/>
                    </w:rPr>
                  </w:pPr>
                </w:p>
                <w:p w:rsidR="00B97795" w:rsidRPr="00A443D3" w:rsidRDefault="00B97795" w:rsidP="00DE4516">
                  <w:pPr>
                    <w:jc w:val="both"/>
                    <w:rPr>
                      <w:rFonts w:ascii="Arial" w:hAnsi="Arial" w:cs="Arial"/>
                      <w:color w:val="000000"/>
                    </w:rPr>
                  </w:pPr>
                  <w:r w:rsidRPr="00A443D3">
                    <w:rPr>
                      <w:rFonts w:ascii="Arial" w:hAnsi="Arial" w:cs="Arial"/>
                      <w:color w:val="000000"/>
                    </w:rPr>
                    <w:t>Training and development of the faculty of simulation educators</w:t>
                  </w:r>
                </w:p>
                <w:p w:rsidR="00B97795" w:rsidRPr="00A443D3" w:rsidRDefault="00B97795" w:rsidP="00DE4516">
                  <w:pPr>
                    <w:jc w:val="both"/>
                    <w:rPr>
                      <w:rFonts w:ascii="Arial" w:hAnsi="Arial" w:cs="Arial"/>
                      <w:color w:val="000000"/>
                    </w:rPr>
                  </w:pPr>
                </w:p>
                <w:p w:rsidR="00B97795" w:rsidRPr="00A443D3" w:rsidRDefault="00B97795" w:rsidP="00DE4516">
                  <w:pPr>
                    <w:jc w:val="both"/>
                    <w:rPr>
                      <w:rFonts w:ascii="Arial" w:hAnsi="Arial" w:cs="Arial"/>
                      <w:color w:val="000000"/>
                    </w:rPr>
                  </w:pPr>
                  <w:r w:rsidRPr="00A443D3">
                    <w:rPr>
                      <w:rFonts w:ascii="Arial" w:hAnsi="Arial" w:cs="Arial"/>
                      <w:color w:val="000000"/>
                    </w:rPr>
                    <w:t>Growing the evidence base for the effectiveness of simulation</w:t>
                  </w:r>
                </w:p>
                <w:p w:rsidR="00B97795" w:rsidRPr="00A443D3" w:rsidRDefault="00B97795" w:rsidP="00DE4516">
                  <w:pPr>
                    <w:rPr>
                      <w:color w:val="000000"/>
                    </w:rPr>
                  </w:pPr>
                </w:p>
                <w:p w:rsidR="00B97795" w:rsidRPr="00A443D3" w:rsidRDefault="00B97795" w:rsidP="00DE4516">
                  <w:pPr>
                    <w:rPr>
                      <w:rFonts w:ascii="Arial" w:hAnsi="Arial" w:cs="Arial"/>
                      <w:color w:val="000000"/>
                    </w:rPr>
                  </w:pPr>
                  <w:r w:rsidRPr="00A443D3">
                    <w:rPr>
                      <w:rFonts w:ascii="Arial" w:hAnsi="Arial" w:cs="Arial"/>
                      <w:color w:val="000000"/>
                    </w:rPr>
                    <w:t>More effective use of existing resources</w:t>
                  </w:r>
                </w:p>
              </w:txbxContent>
            </v:textbox>
          </v:shape>
        </w:pict>
      </w: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r w:rsidRPr="0003314B">
        <w:rPr>
          <w:rFonts w:ascii="Arial" w:hAnsi="Arial" w:cs="Arial"/>
        </w:rPr>
        <w:t>BACKGROUND</w:t>
      </w:r>
    </w:p>
    <w:p w:rsidR="00DE4516" w:rsidRPr="0003314B" w:rsidRDefault="00DE4516" w:rsidP="00DE4516">
      <w:pPr>
        <w:jc w:val="both"/>
        <w:rPr>
          <w:rFonts w:ascii="Arial" w:hAnsi="Arial" w:cs="Arial"/>
        </w:rPr>
      </w:pPr>
    </w:p>
    <w:p w:rsidR="00DE4516" w:rsidRPr="0003314B" w:rsidRDefault="00DE4516" w:rsidP="00DE4516">
      <w:pPr>
        <w:spacing w:after="240"/>
        <w:jc w:val="both"/>
        <w:rPr>
          <w:rFonts w:ascii="Arial" w:hAnsi="Arial" w:cs="Arial"/>
        </w:rPr>
      </w:pPr>
      <w:r w:rsidRPr="0003314B">
        <w:rPr>
          <w:rFonts w:ascii="Arial" w:hAnsi="Arial" w:cs="Arial"/>
        </w:rPr>
        <w:t xml:space="preserve">Simulation is a technique for practice and learning that can be applied in healthcare to many different professions, disciplines and levels of training. It facilitates learning through immersion, reflection, feedback and practice, but minus the risks inherent in a similar real life situation. Its use in a wide variety of industries for many years has demonstrated its value (aviation, nuclear industry, aeronautics, military, </w:t>
      </w:r>
      <w:proofErr w:type="gramStart"/>
      <w:r w:rsidRPr="0003314B">
        <w:rPr>
          <w:rFonts w:ascii="Arial" w:hAnsi="Arial" w:cs="Arial"/>
        </w:rPr>
        <w:t>business</w:t>
      </w:r>
      <w:proofErr w:type="gramEnd"/>
      <w:r w:rsidRPr="0003314B">
        <w:rPr>
          <w:rFonts w:ascii="Arial" w:hAnsi="Arial" w:cs="Arial"/>
        </w:rPr>
        <w:t>) and evidence is slowly but surely accumulating of the value of simulation in healthcare.</w:t>
      </w:r>
    </w:p>
    <w:p w:rsidR="00DE4516" w:rsidRPr="0003314B" w:rsidRDefault="00DE4516" w:rsidP="00DE4516">
      <w:pPr>
        <w:spacing w:after="240"/>
        <w:jc w:val="both"/>
        <w:rPr>
          <w:rFonts w:ascii="Arial" w:hAnsi="Arial" w:cs="Arial"/>
        </w:rPr>
      </w:pPr>
      <w:r w:rsidRPr="0003314B">
        <w:rPr>
          <w:rFonts w:ascii="Arial" w:hAnsi="Arial" w:cs="Arial"/>
        </w:rPr>
        <w:t>There is an important distinction between high, medium and low fidelity simulation. “High fidelity patient simulators combine sophisticated life-like manikins with computer programmes driven by scientifically derived complex mathematical models of respiratory and cardiovascular physiology and extensive pharmacological modelling of drugs to produce a dynamic system…..Intermediate [medium] fidelity simulators combine part or full body manikins with less complex computer programs</w:t>
      </w:r>
      <w:r>
        <w:rPr>
          <w:rFonts w:ascii="Arial" w:hAnsi="Arial" w:cs="Arial"/>
        </w:rPr>
        <w:t>.</w:t>
      </w:r>
      <w:r w:rsidRPr="0003314B">
        <w:rPr>
          <w:rFonts w:ascii="Arial" w:hAnsi="Arial" w:cs="Arial"/>
        </w:rPr>
        <w:t xml:space="preserve"> Low fidelity simulators and simulated patients [are] the basis of many objective structured clinical examinations.” (Maran &amp; Glavin, 2003)</w:t>
      </w:r>
    </w:p>
    <w:p w:rsidR="00DE4516" w:rsidRPr="0003314B" w:rsidRDefault="00DE4516" w:rsidP="00DE4516">
      <w:pPr>
        <w:spacing w:after="240"/>
        <w:jc w:val="both"/>
        <w:rPr>
          <w:rFonts w:ascii="Arial" w:hAnsi="Arial" w:cs="Arial"/>
        </w:rPr>
      </w:pPr>
      <w:r w:rsidRPr="0003314B">
        <w:rPr>
          <w:rFonts w:ascii="Arial" w:hAnsi="Arial" w:cs="Arial"/>
        </w:rPr>
        <w:lastRenderedPageBreak/>
        <w:t>The practice and learning opportunities provided by simulation include a range of both technical and non-technical skills, knowledge and attitudes. Simulation addresses practice and learning for teams, individuals working in teams and individuals working alone. Simulation  therefore covers clinical practice and learning in a wide range of simulated  environments where patient care is delivered, including those where practice occurs outside the ward, the clinic or the operating theatre; it is thus not confined to practice and learning through the use of inanimate mannequins.</w:t>
      </w:r>
    </w:p>
    <w:p w:rsidR="00DE4516" w:rsidRDefault="00DE4516" w:rsidP="00DE4516">
      <w:pPr>
        <w:spacing w:after="240"/>
        <w:jc w:val="both"/>
        <w:rPr>
          <w:rFonts w:ascii="Arial" w:hAnsi="Arial" w:cs="Arial"/>
        </w:rPr>
      </w:pPr>
      <w:r w:rsidRPr="0003314B">
        <w:rPr>
          <w:rFonts w:ascii="Arial" w:hAnsi="Arial" w:cs="Arial"/>
        </w:rPr>
        <w:t xml:space="preserve">Educational research emphasises that simulation in all its various manifestations is an important adjunct to other educational inputs and can speed up learning and educational trajectories.  Further, simulation offers a robust and reliable assessment environment for both formative and summative assessment for individuals and multi-professional teams. </w:t>
      </w:r>
    </w:p>
    <w:p w:rsidR="00DE4516" w:rsidRPr="00190021" w:rsidRDefault="00DE4516" w:rsidP="00DE4516">
      <w:pPr>
        <w:spacing w:after="240"/>
        <w:jc w:val="both"/>
        <w:rPr>
          <w:rFonts w:ascii="Arial" w:hAnsi="Arial" w:cs="Arial"/>
          <w:color w:val="000000"/>
        </w:rPr>
      </w:pPr>
      <w:r w:rsidRPr="00190021">
        <w:rPr>
          <w:rFonts w:ascii="Arial" w:hAnsi="Arial" w:cs="Arial"/>
          <w:color w:val="000000"/>
        </w:rPr>
        <w:t xml:space="preserve">The main benefit of developing simulation arrangements is to improve the quality of care to patients and the public in the </w:t>
      </w:r>
      <w:smartTag w:uri="urn:schemas-microsoft-com:office:smarttags" w:element="place">
        <w:r w:rsidRPr="00190021">
          <w:rPr>
            <w:rFonts w:ascii="Arial" w:hAnsi="Arial" w:cs="Arial"/>
            <w:color w:val="000000"/>
          </w:rPr>
          <w:t>East Midlands</w:t>
        </w:r>
      </w:smartTag>
      <w:r w:rsidRPr="00190021">
        <w:rPr>
          <w:rFonts w:ascii="Arial" w:hAnsi="Arial" w:cs="Arial"/>
          <w:color w:val="000000"/>
        </w:rPr>
        <w:t>. Improved patient safety will be a key outcome. Moreover, the quality element of the QIPP agenda is clearly supported by improved provision.</w:t>
      </w:r>
    </w:p>
    <w:p w:rsidR="00DE4516" w:rsidRDefault="00DE4516" w:rsidP="00DE4516">
      <w:pPr>
        <w:jc w:val="both"/>
        <w:rPr>
          <w:rFonts w:ascii="Arial" w:hAnsi="Arial" w:cs="Arial"/>
        </w:rPr>
      </w:pPr>
    </w:p>
    <w:p w:rsidR="00DE4516" w:rsidRDefault="00DE4516" w:rsidP="00DE4516">
      <w:pPr>
        <w:spacing w:after="240"/>
        <w:jc w:val="both"/>
        <w:rPr>
          <w:rFonts w:ascii="Arial" w:hAnsi="Arial" w:cs="Arial"/>
        </w:rPr>
      </w:pPr>
      <w:r>
        <w:rPr>
          <w:rFonts w:ascii="Arial" w:hAnsi="Arial" w:cs="Arial"/>
        </w:rPr>
        <w:t>CURRENT SITUATION</w:t>
      </w:r>
    </w:p>
    <w:p w:rsidR="00DE4516" w:rsidRPr="00434F99" w:rsidRDefault="00DE4516" w:rsidP="00DE4516">
      <w:pPr>
        <w:jc w:val="both"/>
        <w:rPr>
          <w:rFonts w:ascii="Arial" w:hAnsi="Arial" w:cs="Arial"/>
        </w:rPr>
      </w:pPr>
      <w:r w:rsidRPr="00434F99">
        <w:rPr>
          <w:rFonts w:ascii="Arial" w:hAnsi="Arial" w:cs="Arial"/>
        </w:rPr>
        <w:t xml:space="preserve">In the early part of 2010, East Midlands Healthcare Workforce Deanery commissioned a high-level strategic review into simulation across the region. The resulting </w:t>
      </w:r>
      <w:r w:rsidRPr="00434F99">
        <w:rPr>
          <w:rFonts w:ascii="Arial" w:hAnsi="Arial" w:cs="Arial"/>
          <w:i/>
        </w:rPr>
        <w:t xml:space="preserve">Review of Simulation-based Education in the </w:t>
      </w:r>
      <w:smartTag w:uri="urn:schemas-microsoft-com:office:smarttags" w:element="place">
        <w:r w:rsidRPr="00434F99">
          <w:rPr>
            <w:rFonts w:ascii="Arial" w:hAnsi="Arial" w:cs="Arial"/>
            <w:i/>
          </w:rPr>
          <w:t>East Midlands</w:t>
        </w:r>
      </w:smartTag>
      <w:r w:rsidRPr="00434F99">
        <w:rPr>
          <w:rFonts w:ascii="Arial" w:hAnsi="Arial" w:cs="Arial"/>
        </w:rPr>
        <w:t xml:space="preserve"> (Frontline, 2010) identified:</w:t>
      </w:r>
    </w:p>
    <w:p w:rsidR="00DE4516" w:rsidRPr="00434F99" w:rsidRDefault="00DE4516" w:rsidP="00DE4516">
      <w:pPr>
        <w:jc w:val="both"/>
        <w:rPr>
          <w:rFonts w:ascii="Arial" w:hAnsi="Arial" w:cs="Arial"/>
        </w:rPr>
      </w:pPr>
    </w:p>
    <w:p w:rsidR="00DE4516" w:rsidRPr="00434F99" w:rsidRDefault="00DE4516" w:rsidP="00DE4516">
      <w:pPr>
        <w:numPr>
          <w:ilvl w:val="0"/>
          <w:numId w:val="6"/>
        </w:numPr>
        <w:jc w:val="both"/>
        <w:rPr>
          <w:rFonts w:ascii="Arial" w:hAnsi="Arial" w:cs="Arial"/>
        </w:rPr>
      </w:pPr>
      <w:r w:rsidRPr="00434F99">
        <w:rPr>
          <w:rFonts w:ascii="Arial" w:hAnsi="Arial" w:cs="Arial"/>
        </w:rPr>
        <w:t>variable access to simulation facilities and equipment</w:t>
      </w:r>
    </w:p>
    <w:p w:rsidR="00DE4516" w:rsidRPr="00434F99" w:rsidRDefault="00DE4516" w:rsidP="00DE4516">
      <w:pPr>
        <w:numPr>
          <w:ilvl w:val="0"/>
          <w:numId w:val="6"/>
        </w:numPr>
        <w:jc w:val="both"/>
        <w:rPr>
          <w:rFonts w:ascii="Arial" w:hAnsi="Arial" w:cs="Arial"/>
        </w:rPr>
      </w:pPr>
      <w:r w:rsidRPr="00434F99">
        <w:rPr>
          <w:rFonts w:ascii="Arial" w:hAnsi="Arial" w:cs="Arial"/>
        </w:rPr>
        <w:t>a requirement for increased local resources and/or increased sharing of existing resources based around a coherent distributed model of provision</w:t>
      </w:r>
    </w:p>
    <w:p w:rsidR="00DE4516" w:rsidRPr="00434F99" w:rsidRDefault="00DE4516" w:rsidP="00DE4516">
      <w:pPr>
        <w:numPr>
          <w:ilvl w:val="0"/>
          <w:numId w:val="6"/>
        </w:numPr>
        <w:jc w:val="both"/>
        <w:rPr>
          <w:rFonts w:ascii="Arial" w:hAnsi="Arial" w:cs="Arial"/>
        </w:rPr>
      </w:pPr>
      <w:r w:rsidRPr="00434F99">
        <w:rPr>
          <w:rFonts w:ascii="Arial" w:hAnsi="Arial" w:cs="Arial"/>
        </w:rPr>
        <w:t>the need for a network of experts to be established</w:t>
      </w:r>
    </w:p>
    <w:p w:rsidR="00DE4516" w:rsidRPr="00434F99" w:rsidRDefault="00DE4516" w:rsidP="00DE4516">
      <w:pPr>
        <w:numPr>
          <w:ilvl w:val="0"/>
          <w:numId w:val="6"/>
        </w:numPr>
        <w:jc w:val="both"/>
        <w:rPr>
          <w:rFonts w:ascii="Arial" w:hAnsi="Arial" w:cs="Arial"/>
        </w:rPr>
      </w:pPr>
      <w:r w:rsidRPr="00434F99">
        <w:rPr>
          <w:rFonts w:ascii="Arial" w:hAnsi="Arial" w:cs="Arial"/>
        </w:rPr>
        <w:t>a requirement for simulation to be included in job plans, in order to ensure the availability of a skilled faculty of educators across the patch</w:t>
      </w:r>
    </w:p>
    <w:p w:rsidR="00DE4516" w:rsidRPr="00434F99" w:rsidRDefault="00DE4516" w:rsidP="00DE4516">
      <w:pPr>
        <w:numPr>
          <w:ilvl w:val="0"/>
          <w:numId w:val="6"/>
        </w:numPr>
        <w:jc w:val="both"/>
        <w:rPr>
          <w:rFonts w:ascii="Arial" w:hAnsi="Arial" w:cs="Arial"/>
        </w:rPr>
      </w:pPr>
      <w:r w:rsidRPr="00434F99">
        <w:rPr>
          <w:rFonts w:ascii="Arial" w:hAnsi="Arial" w:cs="Arial"/>
        </w:rPr>
        <w:t xml:space="preserve">the necessity of establishing a baseline level of consistency for faculty, facilities and processes </w:t>
      </w:r>
      <w:proofErr w:type="spellStart"/>
      <w:r w:rsidRPr="00434F99">
        <w:rPr>
          <w:rFonts w:ascii="Arial" w:hAnsi="Arial" w:cs="Arial"/>
        </w:rPr>
        <w:t>vis</w:t>
      </w:r>
      <w:proofErr w:type="spellEnd"/>
      <w:r w:rsidRPr="00434F99">
        <w:rPr>
          <w:rFonts w:ascii="Arial" w:hAnsi="Arial" w:cs="Arial"/>
        </w:rPr>
        <w:t>-a-</w:t>
      </w:r>
      <w:proofErr w:type="spellStart"/>
      <w:r w:rsidRPr="00434F99">
        <w:rPr>
          <w:rFonts w:ascii="Arial" w:hAnsi="Arial" w:cs="Arial"/>
        </w:rPr>
        <w:t>vis</w:t>
      </w:r>
      <w:proofErr w:type="spellEnd"/>
      <w:r w:rsidRPr="00434F99">
        <w:rPr>
          <w:rFonts w:ascii="Arial" w:hAnsi="Arial" w:cs="Arial"/>
        </w:rPr>
        <w:t xml:space="preserve"> simulation</w:t>
      </w:r>
    </w:p>
    <w:p w:rsidR="00DE4516" w:rsidRPr="00434F99" w:rsidRDefault="00DE4516" w:rsidP="00DE4516">
      <w:pPr>
        <w:numPr>
          <w:ilvl w:val="0"/>
          <w:numId w:val="6"/>
        </w:numPr>
        <w:jc w:val="both"/>
        <w:rPr>
          <w:rFonts w:ascii="Arial" w:hAnsi="Arial" w:cs="Arial"/>
        </w:rPr>
      </w:pPr>
      <w:r w:rsidRPr="00434F99">
        <w:rPr>
          <w:rFonts w:ascii="Arial" w:hAnsi="Arial" w:cs="Arial"/>
        </w:rPr>
        <w:t>the need for further research to demonstrate evidence of impact</w:t>
      </w:r>
    </w:p>
    <w:p w:rsidR="00DE4516" w:rsidRPr="00434F99" w:rsidRDefault="00DE4516" w:rsidP="00DE4516">
      <w:pPr>
        <w:numPr>
          <w:ilvl w:val="0"/>
          <w:numId w:val="6"/>
        </w:numPr>
        <w:jc w:val="both"/>
        <w:rPr>
          <w:rFonts w:ascii="Arial" w:hAnsi="Arial" w:cs="Arial"/>
        </w:rPr>
      </w:pPr>
      <w:r w:rsidRPr="00434F99">
        <w:rPr>
          <w:rFonts w:ascii="Arial" w:hAnsi="Arial" w:cs="Arial"/>
        </w:rPr>
        <w:t xml:space="preserve">a role for the Deanery in leading the creation of a strategic approach to simulation across the </w:t>
      </w:r>
      <w:smartTag w:uri="urn:schemas-microsoft-com:office:smarttags" w:element="place">
        <w:r w:rsidRPr="00434F99">
          <w:rPr>
            <w:rFonts w:ascii="Arial" w:hAnsi="Arial" w:cs="Arial"/>
          </w:rPr>
          <w:t>East Midlands</w:t>
        </w:r>
      </w:smartTag>
    </w:p>
    <w:p w:rsidR="00DE4516" w:rsidRPr="00434F99" w:rsidRDefault="00DE4516" w:rsidP="00DE4516">
      <w:pPr>
        <w:jc w:val="both"/>
        <w:rPr>
          <w:rFonts w:ascii="Arial" w:hAnsi="Arial" w:cs="Arial"/>
        </w:rPr>
      </w:pPr>
    </w:p>
    <w:p w:rsidR="00DE4516" w:rsidRPr="00434F99" w:rsidRDefault="00DE4516" w:rsidP="00DE4516">
      <w:pPr>
        <w:jc w:val="both"/>
        <w:rPr>
          <w:rFonts w:ascii="Arial" w:hAnsi="Arial" w:cs="Arial"/>
        </w:rPr>
      </w:pPr>
      <w:r w:rsidRPr="00434F99">
        <w:rPr>
          <w:rFonts w:ascii="Arial" w:hAnsi="Arial" w:cs="Arial"/>
        </w:rPr>
        <w:t xml:space="preserve">These findings are consistent with the recommendations contained within the Department of Health </w:t>
      </w:r>
      <w:r w:rsidRPr="00434F99">
        <w:rPr>
          <w:rFonts w:ascii="Arial" w:hAnsi="Arial" w:cs="Arial"/>
          <w:i/>
        </w:rPr>
        <w:t>NHS Simulation Provision and Use Study</w:t>
      </w:r>
      <w:r w:rsidRPr="00434F99">
        <w:rPr>
          <w:rFonts w:ascii="Arial" w:hAnsi="Arial" w:cs="Arial"/>
        </w:rPr>
        <w:t xml:space="preserve"> (DoH 2010).</w:t>
      </w:r>
    </w:p>
    <w:p w:rsidR="00DE4516" w:rsidRPr="00434F99" w:rsidRDefault="00DE4516" w:rsidP="00DE4516">
      <w:pPr>
        <w:jc w:val="both"/>
        <w:rPr>
          <w:rFonts w:ascii="Arial" w:hAnsi="Arial" w:cs="Arial"/>
        </w:rPr>
      </w:pPr>
    </w:p>
    <w:p w:rsidR="00DE4516" w:rsidRPr="00434F99" w:rsidRDefault="00DE4516" w:rsidP="00DE4516">
      <w:pPr>
        <w:jc w:val="both"/>
        <w:rPr>
          <w:rFonts w:ascii="Arial" w:hAnsi="Arial" w:cs="Arial"/>
        </w:rPr>
      </w:pPr>
      <w:r w:rsidRPr="00434F99">
        <w:rPr>
          <w:rFonts w:ascii="Arial" w:hAnsi="Arial" w:cs="Arial"/>
        </w:rPr>
        <w:t>In addition, it is also apparent from the national report that within some SHA areas, clear models for the development of simulation have already been developed. The report notes that “</w:t>
      </w:r>
      <w:r w:rsidRPr="00434F99">
        <w:rPr>
          <w:rFonts w:ascii="Arial" w:hAnsi="Arial" w:cs="Arial"/>
          <w:i/>
        </w:rPr>
        <w:t>Many SHAs have proactively funded and</w:t>
      </w:r>
      <w:r w:rsidRPr="00803177">
        <w:rPr>
          <w:rFonts w:ascii="Arial" w:hAnsi="Arial" w:cs="Arial"/>
          <w:i/>
          <w:color w:val="FF00FF"/>
        </w:rPr>
        <w:t xml:space="preserve"> </w:t>
      </w:r>
      <w:r w:rsidRPr="00434F99">
        <w:rPr>
          <w:rFonts w:ascii="Arial" w:hAnsi="Arial" w:cs="Arial"/>
          <w:i/>
        </w:rPr>
        <w:t>pursued simulation strategies</w:t>
      </w:r>
      <w:r w:rsidRPr="00434F99">
        <w:rPr>
          <w:rFonts w:ascii="Arial" w:hAnsi="Arial" w:cs="Arial"/>
        </w:rPr>
        <w:t xml:space="preserve">” (P.37). </w:t>
      </w:r>
      <w:smartTag w:uri="urn:schemas-microsoft-com:office:smarttags" w:element="place">
        <w:r w:rsidRPr="00434F99">
          <w:rPr>
            <w:rFonts w:ascii="Arial" w:hAnsi="Arial" w:cs="Arial"/>
          </w:rPr>
          <w:t>East Midlands</w:t>
        </w:r>
      </w:smartTag>
      <w:r w:rsidRPr="00434F99">
        <w:rPr>
          <w:rFonts w:ascii="Arial" w:hAnsi="Arial" w:cs="Arial"/>
        </w:rPr>
        <w:t xml:space="preserve"> is clearly now lagging behind in this important area of educational activity.</w:t>
      </w:r>
    </w:p>
    <w:p w:rsidR="00DE4516" w:rsidRDefault="00DE4516" w:rsidP="00DE4516">
      <w:pPr>
        <w:jc w:val="both"/>
        <w:rPr>
          <w:rFonts w:ascii="Arial" w:hAnsi="Arial" w:cs="Arial"/>
        </w:rPr>
      </w:pPr>
    </w:p>
    <w:p w:rsidR="00DE4516" w:rsidRDefault="00DE4516" w:rsidP="00DE4516">
      <w:pPr>
        <w:jc w:val="both"/>
        <w:rPr>
          <w:rFonts w:ascii="Arial" w:hAnsi="Arial" w:cs="Arial"/>
        </w:rPr>
      </w:pPr>
      <w:r>
        <w:rPr>
          <w:rFonts w:ascii="Arial" w:hAnsi="Arial" w:cs="Arial"/>
        </w:rPr>
        <w:t xml:space="preserve">To make up this lost ground a new approach is therefore </w:t>
      </w:r>
      <w:r w:rsidRPr="00434F99">
        <w:rPr>
          <w:rFonts w:ascii="Arial" w:hAnsi="Arial" w:cs="Arial"/>
        </w:rPr>
        <w:t>urgently</w:t>
      </w:r>
      <w:r>
        <w:rPr>
          <w:rFonts w:ascii="Arial" w:hAnsi="Arial" w:cs="Arial"/>
        </w:rPr>
        <w:t xml:space="preserve"> required. This approach will focus on:</w:t>
      </w:r>
    </w:p>
    <w:p w:rsidR="00DE4516" w:rsidRDefault="00DE4516" w:rsidP="00DE4516">
      <w:pPr>
        <w:jc w:val="both"/>
        <w:rPr>
          <w:rFonts w:ascii="Arial" w:hAnsi="Arial" w:cs="Arial"/>
        </w:rPr>
      </w:pPr>
    </w:p>
    <w:p w:rsidR="00DE4516" w:rsidRDefault="00DE4516" w:rsidP="00DE4516">
      <w:pPr>
        <w:numPr>
          <w:ilvl w:val="0"/>
          <w:numId w:val="5"/>
        </w:numPr>
        <w:jc w:val="both"/>
        <w:rPr>
          <w:rFonts w:ascii="Arial" w:hAnsi="Arial" w:cs="Arial"/>
        </w:rPr>
      </w:pPr>
      <w:r>
        <w:rPr>
          <w:rFonts w:ascii="Arial" w:hAnsi="Arial" w:cs="Arial"/>
        </w:rPr>
        <w:t xml:space="preserve">ensuring there is </w:t>
      </w:r>
      <w:r w:rsidRPr="00A76D13">
        <w:rPr>
          <w:rFonts w:ascii="Arial" w:hAnsi="Arial" w:cs="Arial"/>
        </w:rPr>
        <w:t>access</w:t>
      </w:r>
      <w:r>
        <w:rPr>
          <w:rFonts w:ascii="Arial" w:hAnsi="Arial" w:cs="Arial"/>
        </w:rPr>
        <w:t xml:space="preserve"> to simulation facilities, equipment, skilled personnel and learning opportunities, so that all staff can benefit</w:t>
      </w:r>
    </w:p>
    <w:p w:rsidR="00DE4516" w:rsidRDefault="00DE4516" w:rsidP="00DE4516">
      <w:pPr>
        <w:jc w:val="both"/>
        <w:rPr>
          <w:rFonts w:ascii="Arial" w:hAnsi="Arial" w:cs="Arial"/>
        </w:rPr>
      </w:pPr>
    </w:p>
    <w:p w:rsidR="00DE4516" w:rsidRDefault="00DE4516" w:rsidP="00DE4516">
      <w:pPr>
        <w:numPr>
          <w:ilvl w:val="0"/>
          <w:numId w:val="5"/>
        </w:numPr>
        <w:jc w:val="both"/>
        <w:rPr>
          <w:rFonts w:ascii="Arial" w:hAnsi="Arial" w:cs="Arial"/>
        </w:rPr>
      </w:pPr>
      <w:r>
        <w:rPr>
          <w:rFonts w:ascii="Arial" w:hAnsi="Arial" w:cs="Arial"/>
        </w:rPr>
        <w:t xml:space="preserve">developing a </w:t>
      </w:r>
      <w:r w:rsidRPr="00A76D13">
        <w:rPr>
          <w:rFonts w:ascii="Arial" w:hAnsi="Arial" w:cs="Arial"/>
        </w:rPr>
        <w:t>distributed network</w:t>
      </w:r>
      <w:r>
        <w:rPr>
          <w:rFonts w:ascii="Arial" w:hAnsi="Arial" w:cs="Arial"/>
        </w:rPr>
        <w:t>, so that common systems are in place</w:t>
      </w:r>
    </w:p>
    <w:p w:rsidR="00DE4516" w:rsidRDefault="00DE4516" w:rsidP="00DE4516">
      <w:pPr>
        <w:jc w:val="both"/>
        <w:rPr>
          <w:rFonts w:ascii="Arial" w:hAnsi="Arial" w:cs="Arial"/>
        </w:rPr>
      </w:pPr>
    </w:p>
    <w:p w:rsidR="00DE4516" w:rsidRDefault="00DE4516" w:rsidP="00DE4516">
      <w:pPr>
        <w:numPr>
          <w:ilvl w:val="0"/>
          <w:numId w:val="5"/>
        </w:numPr>
        <w:jc w:val="both"/>
        <w:rPr>
          <w:rFonts w:ascii="Arial" w:hAnsi="Arial" w:cs="Arial"/>
        </w:rPr>
      </w:pPr>
      <w:r>
        <w:rPr>
          <w:rFonts w:ascii="Arial" w:hAnsi="Arial" w:cs="Arial"/>
        </w:rPr>
        <w:t>training and development of the faculty of simulation educators, so that high standards of delivery are provided</w:t>
      </w:r>
    </w:p>
    <w:p w:rsidR="00DE4516" w:rsidRDefault="00DE4516" w:rsidP="00DE4516">
      <w:pPr>
        <w:pStyle w:val="ListParagraph"/>
        <w:rPr>
          <w:rFonts w:ascii="Arial" w:hAnsi="Arial" w:cs="Arial"/>
        </w:rPr>
      </w:pPr>
    </w:p>
    <w:p w:rsidR="00DE4516" w:rsidRPr="00190021" w:rsidRDefault="00DE4516" w:rsidP="00DE4516">
      <w:pPr>
        <w:numPr>
          <w:ilvl w:val="0"/>
          <w:numId w:val="5"/>
        </w:numPr>
        <w:jc w:val="both"/>
        <w:rPr>
          <w:rFonts w:ascii="Arial" w:hAnsi="Arial" w:cs="Arial"/>
          <w:color w:val="000000"/>
        </w:rPr>
      </w:pPr>
      <w:r w:rsidRPr="00190021">
        <w:rPr>
          <w:rFonts w:ascii="Arial" w:hAnsi="Arial" w:cs="Arial"/>
          <w:color w:val="000000"/>
        </w:rPr>
        <w:t xml:space="preserve">growing the evidence base for the effectiveness of simulation, so that there is continuing improvement in the </w:t>
      </w:r>
      <w:smartTag w:uri="urn:schemas-microsoft-com:office:smarttags" w:element="place">
        <w:r w:rsidRPr="00190021">
          <w:rPr>
            <w:rFonts w:ascii="Arial" w:hAnsi="Arial" w:cs="Arial"/>
            <w:color w:val="000000"/>
          </w:rPr>
          <w:t>East Midlands</w:t>
        </w:r>
      </w:smartTag>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r>
        <w:rPr>
          <w:rFonts w:ascii="Arial" w:hAnsi="Arial" w:cs="Arial"/>
        </w:rPr>
        <w:t>The emphasis will be on using existing resources (people, equipment, facilities) more effectively to contribute to improved patient outcomes.</w:t>
      </w:r>
    </w:p>
    <w:p w:rsidR="00DE4516" w:rsidRPr="0003314B" w:rsidRDefault="00DE4516" w:rsidP="00DE4516">
      <w:pPr>
        <w:jc w:val="both"/>
        <w:rPr>
          <w:rFonts w:ascii="Arial" w:hAnsi="Arial" w:cs="Arial"/>
        </w:rPr>
      </w:pPr>
    </w:p>
    <w:p w:rsidR="00DE4516" w:rsidRDefault="00DE4516" w:rsidP="00DE4516">
      <w:pPr>
        <w:jc w:val="both"/>
        <w:rPr>
          <w:rFonts w:ascii="Arial" w:hAnsi="Arial" w:cs="Arial"/>
        </w:rPr>
      </w:pPr>
    </w:p>
    <w:p w:rsidR="00DE4516" w:rsidRDefault="00DE4516" w:rsidP="00DE4516">
      <w:pPr>
        <w:jc w:val="both"/>
        <w:rPr>
          <w:rFonts w:ascii="Arial" w:hAnsi="Arial" w:cs="Arial"/>
        </w:rPr>
      </w:pPr>
      <w:r>
        <w:rPr>
          <w:rFonts w:ascii="Arial" w:hAnsi="Arial" w:cs="Arial"/>
        </w:rPr>
        <w:t>VISION</w:t>
      </w:r>
    </w:p>
    <w:p w:rsidR="00DE4516" w:rsidRDefault="00DE4516" w:rsidP="00DE4516">
      <w:pPr>
        <w:jc w:val="both"/>
        <w:rPr>
          <w:rFonts w:ascii="Arial" w:hAnsi="Arial" w:cs="Arial"/>
        </w:rPr>
      </w:pPr>
    </w:p>
    <w:p w:rsidR="00DE4516" w:rsidRDefault="00DE4516" w:rsidP="00DE4516">
      <w:pPr>
        <w:jc w:val="both"/>
        <w:rPr>
          <w:rFonts w:ascii="Arial" w:hAnsi="Arial" w:cs="Arial"/>
        </w:rPr>
      </w:pPr>
      <w:r>
        <w:rPr>
          <w:rFonts w:ascii="Arial" w:hAnsi="Arial" w:cs="Arial"/>
        </w:rPr>
        <w:t>To realise this new approach, a vision for the future provision of simulation has been identified. In 2015 there will be:</w:t>
      </w:r>
    </w:p>
    <w:p w:rsidR="00DE4516" w:rsidRDefault="00DE4516" w:rsidP="00DE4516">
      <w:pPr>
        <w:jc w:val="both"/>
        <w:rPr>
          <w:rFonts w:ascii="Arial" w:hAnsi="Arial" w:cs="Arial"/>
        </w:rPr>
      </w:pPr>
    </w:p>
    <w:p w:rsidR="00DE4516" w:rsidRDefault="00DE4516" w:rsidP="00DE4516">
      <w:pPr>
        <w:numPr>
          <w:ilvl w:val="0"/>
          <w:numId w:val="4"/>
        </w:numPr>
        <w:jc w:val="both"/>
        <w:rPr>
          <w:rFonts w:ascii="Arial" w:hAnsi="Arial" w:cs="Arial"/>
        </w:rPr>
      </w:pPr>
      <w:r>
        <w:rPr>
          <w:rFonts w:ascii="Arial" w:hAnsi="Arial" w:cs="Arial"/>
        </w:rPr>
        <w:t xml:space="preserve">A single, virtual body of multi-professional simulation experts across the </w:t>
      </w:r>
      <w:smartTag w:uri="urn:schemas-microsoft-com:office:smarttags" w:element="place">
        <w:r>
          <w:rPr>
            <w:rFonts w:ascii="Arial" w:hAnsi="Arial" w:cs="Arial"/>
          </w:rPr>
          <w:t>East Midlands</w:t>
        </w:r>
      </w:smartTag>
      <w:r>
        <w:rPr>
          <w:rFonts w:ascii="Arial" w:hAnsi="Arial" w:cs="Arial"/>
        </w:rPr>
        <w:t xml:space="preserve">, </w:t>
      </w:r>
      <w:r w:rsidRPr="00190021">
        <w:rPr>
          <w:rFonts w:ascii="Arial" w:hAnsi="Arial" w:cs="Arial"/>
          <w:color w:val="000000"/>
        </w:rPr>
        <w:t>with access to an active development programme</w:t>
      </w:r>
    </w:p>
    <w:p w:rsidR="00DE4516" w:rsidRDefault="00DE4516" w:rsidP="00DE4516">
      <w:pPr>
        <w:jc w:val="both"/>
        <w:rPr>
          <w:rFonts w:ascii="Arial" w:hAnsi="Arial" w:cs="Arial"/>
        </w:rPr>
      </w:pPr>
    </w:p>
    <w:p w:rsidR="00DE4516" w:rsidRDefault="00DE4516" w:rsidP="00DE4516">
      <w:pPr>
        <w:numPr>
          <w:ilvl w:val="0"/>
          <w:numId w:val="4"/>
        </w:numPr>
        <w:jc w:val="both"/>
        <w:rPr>
          <w:rFonts w:ascii="Arial" w:hAnsi="Arial" w:cs="Arial"/>
        </w:rPr>
      </w:pPr>
      <w:r>
        <w:rPr>
          <w:rFonts w:ascii="Arial" w:hAnsi="Arial" w:cs="Arial"/>
        </w:rPr>
        <w:t>Integration of simulation into all aspects of healthcare delivery</w:t>
      </w:r>
    </w:p>
    <w:p w:rsidR="00DE4516" w:rsidRDefault="00DE4516" w:rsidP="00DE4516">
      <w:pPr>
        <w:jc w:val="both"/>
        <w:rPr>
          <w:rFonts w:ascii="Arial" w:hAnsi="Arial" w:cs="Arial"/>
        </w:rPr>
      </w:pPr>
    </w:p>
    <w:p w:rsidR="00DE4516" w:rsidRDefault="00DE4516" w:rsidP="00DE4516">
      <w:pPr>
        <w:numPr>
          <w:ilvl w:val="0"/>
          <w:numId w:val="4"/>
        </w:numPr>
        <w:jc w:val="both"/>
        <w:rPr>
          <w:rFonts w:ascii="Arial" w:hAnsi="Arial" w:cs="Arial"/>
        </w:rPr>
      </w:pPr>
      <w:r>
        <w:rPr>
          <w:rFonts w:ascii="Arial" w:hAnsi="Arial" w:cs="Arial"/>
        </w:rPr>
        <w:t xml:space="preserve">Advice about simulation available to all healthcare and associated staff (including voluntary sector and charity staff), and patients and carers within the </w:t>
      </w:r>
      <w:smartTag w:uri="urn:schemas-microsoft-com:office:smarttags" w:element="place">
        <w:r>
          <w:rPr>
            <w:rFonts w:ascii="Arial" w:hAnsi="Arial" w:cs="Arial"/>
          </w:rPr>
          <w:t>East Midlands</w:t>
        </w:r>
      </w:smartTag>
    </w:p>
    <w:p w:rsidR="00DE4516" w:rsidRDefault="00DE4516" w:rsidP="00DE4516">
      <w:pPr>
        <w:jc w:val="both"/>
        <w:rPr>
          <w:rFonts w:ascii="Arial" w:hAnsi="Arial" w:cs="Arial"/>
        </w:rPr>
      </w:pPr>
    </w:p>
    <w:p w:rsidR="00DE4516" w:rsidRDefault="00DE4516" w:rsidP="00DE4516">
      <w:pPr>
        <w:numPr>
          <w:ilvl w:val="0"/>
          <w:numId w:val="4"/>
        </w:numPr>
        <w:jc w:val="both"/>
        <w:rPr>
          <w:rFonts w:ascii="Arial" w:hAnsi="Arial" w:cs="Arial"/>
        </w:rPr>
      </w:pPr>
      <w:r>
        <w:rPr>
          <w:rFonts w:ascii="Arial" w:hAnsi="Arial" w:cs="Arial"/>
        </w:rPr>
        <w:t>Routine utilisation of simulation and the network of experts to support the development of an adaptable and flexible workforce that is fit for purpose</w:t>
      </w:r>
    </w:p>
    <w:p w:rsidR="00DE4516" w:rsidRDefault="00DE4516" w:rsidP="00DE4516">
      <w:pPr>
        <w:jc w:val="both"/>
        <w:rPr>
          <w:rFonts w:ascii="Arial" w:hAnsi="Arial" w:cs="Arial"/>
        </w:rPr>
      </w:pPr>
    </w:p>
    <w:p w:rsidR="00DE4516" w:rsidRDefault="00DE4516" w:rsidP="00DE4516">
      <w:pPr>
        <w:numPr>
          <w:ilvl w:val="0"/>
          <w:numId w:val="4"/>
        </w:numPr>
        <w:jc w:val="both"/>
        <w:rPr>
          <w:rFonts w:ascii="Arial" w:hAnsi="Arial" w:cs="Arial"/>
        </w:rPr>
      </w:pPr>
      <w:r>
        <w:rPr>
          <w:rFonts w:ascii="Arial" w:hAnsi="Arial" w:cs="Arial"/>
        </w:rPr>
        <w:t>Use of the expert network as a resource to contribute to improved performance</w:t>
      </w:r>
    </w:p>
    <w:p w:rsidR="00DE4516" w:rsidRDefault="00DE4516" w:rsidP="00DE4516">
      <w:pPr>
        <w:pStyle w:val="ListParagraph"/>
        <w:rPr>
          <w:rFonts w:ascii="Arial" w:hAnsi="Arial" w:cs="Arial"/>
        </w:rPr>
      </w:pPr>
    </w:p>
    <w:p w:rsidR="00DE4516" w:rsidRPr="00190021" w:rsidRDefault="00DE4516" w:rsidP="00DE4516">
      <w:pPr>
        <w:numPr>
          <w:ilvl w:val="0"/>
          <w:numId w:val="4"/>
        </w:numPr>
        <w:jc w:val="both"/>
        <w:rPr>
          <w:rFonts w:ascii="Arial" w:hAnsi="Arial" w:cs="Arial"/>
          <w:color w:val="000000"/>
        </w:rPr>
      </w:pPr>
      <w:r w:rsidRPr="00190021">
        <w:rPr>
          <w:rFonts w:ascii="Arial" w:hAnsi="Arial" w:cs="Arial"/>
          <w:color w:val="000000"/>
        </w:rPr>
        <w:t>A programme of research, focused on demonstrating outcomes from simulation training</w:t>
      </w:r>
    </w:p>
    <w:p w:rsidR="00DE4516" w:rsidRDefault="00DE4516" w:rsidP="00DE4516">
      <w:pPr>
        <w:jc w:val="both"/>
        <w:rPr>
          <w:rFonts w:ascii="Arial" w:hAnsi="Arial" w:cs="Arial"/>
        </w:rPr>
      </w:pPr>
    </w:p>
    <w:p w:rsidR="00F36F10" w:rsidRDefault="00F36F10" w:rsidP="00DE4516">
      <w:pPr>
        <w:jc w:val="both"/>
        <w:rPr>
          <w:rFonts w:ascii="Arial" w:hAnsi="Arial" w:cs="Arial"/>
        </w:rPr>
      </w:pPr>
    </w:p>
    <w:p w:rsidR="00F36F10" w:rsidRDefault="00F36F10" w:rsidP="00DE4516">
      <w:pPr>
        <w:jc w:val="both"/>
        <w:rPr>
          <w:rFonts w:ascii="Arial" w:hAnsi="Arial" w:cs="Arial"/>
        </w:rPr>
      </w:pPr>
    </w:p>
    <w:p w:rsidR="00F36F10" w:rsidRDefault="00F36F10" w:rsidP="00DE4516">
      <w:pPr>
        <w:jc w:val="both"/>
        <w:rPr>
          <w:rFonts w:ascii="Arial" w:hAnsi="Arial" w:cs="Arial"/>
        </w:rPr>
      </w:pPr>
    </w:p>
    <w:p w:rsidR="00F36F10" w:rsidRDefault="00F36F10" w:rsidP="00DE4516">
      <w:pPr>
        <w:jc w:val="both"/>
        <w:rPr>
          <w:rFonts w:ascii="Arial" w:hAnsi="Arial" w:cs="Arial"/>
        </w:rPr>
      </w:pPr>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r w:rsidRPr="0003314B">
        <w:rPr>
          <w:rFonts w:ascii="Arial" w:hAnsi="Arial" w:cs="Arial"/>
        </w:rPr>
        <w:lastRenderedPageBreak/>
        <w:t>PLAN OF ACTION</w:t>
      </w:r>
    </w:p>
    <w:p w:rsidR="00DE4516" w:rsidRDefault="00DE4516" w:rsidP="00DE4516">
      <w:pPr>
        <w:jc w:val="both"/>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268"/>
        <w:gridCol w:w="2268"/>
        <w:gridCol w:w="2268"/>
      </w:tblGrid>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Year 1</w:t>
            </w:r>
          </w:p>
        </w:tc>
        <w:tc>
          <w:tcPr>
            <w:tcW w:w="2268" w:type="dxa"/>
          </w:tcPr>
          <w:p w:rsidR="00DE4516" w:rsidRPr="00D60B80" w:rsidRDefault="00DE4516" w:rsidP="000744EF">
            <w:pPr>
              <w:jc w:val="both"/>
              <w:rPr>
                <w:rFonts w:ascii="Arial" w:hAnsi="Arial" w:cs="Arial"/>
              </w:rPr>
            </w:pPr>
            <w:r w:rsidRPr="00D60B80">
              <w:rPr>
                <w:rFonts w:ascii="Arial" w:hAnsi="Arial" w:cs="Arial"/>
              </w:rPr>
              <w:t>Year 2</w:t>
            </w:r>
          </w:p>
        </w:tc>
        <w:tc>
          <w:tcPr>
            <w:tcW w:w="2268" w:type="dxa"/>
          </w:tcPr>
          <w:p w:rsidR="00DE4516" w:rsidRPr="00D60B80" w:rsidRDefault="00DE4516" w:rsidP="000744EF">
            <w:pPr>
              <w:jc w:val="both"/>
              <w:rPr>
                <w:rFonts w:ascii="Arial" w:hAnsi="Arial" w:cs="Arial"/>
              </w:rPr>
            </w:pPr>
            <w:r w:rsidRPr="00D60B80">
              <w:rPr>
                <w:rFonts w:ascii="Arial" w:hAnsi="Arial" w:cs="Arial"/>
              </w:rPr>
              <w:t>Year 3</w:t>
            </w:r>
          </w:p>
        </w:tc>
        <w:tc>
          <w:tcPr>
            <w:tcW w:w="2268" w:type="dxa"/>
          </w:tcPr>
          <w:p w:rsidR="00DE4516" w:rsidRPr="00D60B80" w:rsidRDefault="00DE4516" w:rsidP="000744EF">
            <w:pPr>
              <w:jc w:val="both"/>
              <w:rPr>
                <w:rFonts w:ascii="Arial" w:hAnsi="Arial" w:cs="Arial"/>
              </w:rPr>
            </w:pPr>
            <w:r w:rsidRPr="00D60B80">
              <w:rPr>
                <w:rFonts w:ascii="Arial" w:hAnsi="Arial" w:cs="Arial"/>
              </w:rPr>
              <w:t>Year 4</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Identify the champions</w:t>
            </w:r>
            <w:r>
              <w:rPr>
                <w:rFonts w:ascii="Arial" w:hAnsi="Arial" w:cs="Arial"/>
              </w:rPr>
              <w:t xml:space="preserve"> </w:t>
            </w:r>
            <w:r w:rsidRPr="00190021">
              <w:rPr>
                <w:rFonts w:ascii="Arial" w:hAnsi="Arial" w:cs="Arial"/>
                <w:color w:val="000000"/>
              </w:rPr>
              <w:t>and develop the distributed network</w:t>
            </w:r>
          </w:p>
        </w:tc>
        <w:tc>
          <w:tcPr>
            <w:tcW w:w="2268" w:type="dxa"/>
          </w:tcPr>
          <w:p w:rsidR="00DE4516" w:rsidRPr="00D60B80" w:rsidRDefault="00DE4516" w:rsidP="000744EF">
            <w:pPr>
              <w:jc w:val="both"/>
              <w:rPr>
                <w:rFonts w:ascii="Arial" w:hAnsi="Arial" w:cs="Arial"/>
              </w:rPr>
            </w:pPr>
            <w:r w:rsidRPr="00D60B80">
              <w:rPr>
                <w:rFonts w:ascii="Arial" w:hAnsi="Arial" w:cs="Arial"/>
              </w:rPr>
              <w:t>Share programmes</w:t>
            </w:r>
          </w:p>
        </w:tc>
        <w:tc>
          <w:tcPr>
            <w:tcW w:w="2268" w:type="dxa"/>
          </w:tcPr>
          <w:p w:rsidR="00DE4516" w:rsidRPr="00D60B80" w:rsidRDefault="00DE4516" w:rsidP="000744EF">
            <w:pPr>
              <w:jc w:val="both"/>
              <w:rPr>
                <w:rFonts w:ascii="Arial" w:hAnsi="Arial" w:cs="Arial"/>
              </w:rPr>
            </w:pPr>
            <w:r w:rsidRPr="00D60B80">
              <w:rPr>
                <w:rFonts w:ascii="Arial" w:hAnsi="Arial" w:cs="Arial"/>
              </w:rPr>
              <w:t xml:space="preserve">Integrate undergraduate teaching </w:t>
            </w:r>
          </w:p>
        </w:tc>
        <w:tc>
          <w:tcPr>
            <w:tcW w:w="2268" w:type="dxa"/>
          </w:tcPr>
          <w:p w:rsidR="00DE4516" w:rsidRPr="00D60B80" w:rsidRDefault="00DE4516" w:rsidP="000744EF">
            <w:pPr>
              <w:jc w:val="both"/>
              <w:rPr>
                <w:rFonts w:ascii="Arial" w:hAnsi="Arial" w:cs="Arial"/>
              </w:rPr>
            </w:pPr>
            <w:r w:rsidRPr="00D60B80">
              <w:rPr>
                <w:rFonts w:ascii="Arial" w:hAnsi="Arial" w:cs="Arial"/>
              </w:rPr>
              <w:t>Develop research agenda</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Agree ways of working across the network</w:t>
            </w:r>
          </w:p>
        </w:tc>
        <w:tc>
          <w:tcPr>
            <w:tcW w:w="2268" w:type="dxa"/>
          </w:tcPr>
          <w:p w:rsidR="00DE4516" w:rsidRPr="00D60B80" w:rsidRDefault="00DE4516" w:rsidP="000744EF">
            <w:pPr>
              <w:jc w:val="both"/>
              <w:rPr>
                <w:rFonts w:ascii="Arial" w:hAnsi="Arial" w:cs="Arial"/>
              </w:rPr>
            </w:pPr>
            <w:r w:rsidRPr="00D60B80">
              <w:rPr>
                <w:rFonts w:ascii="Arial" w:hAnsi="Arial" w:cs="Arial"/>
              </w:rPr>
              <w:t>Audit current use of simulation and identify gaps</w:t>
            </w:r>
          </w:p>
        </w:tc>
        <w:tc>
          <w:tcPr>
            <w:tcW w:w="2268" w:type="dxa"/>
          </w:tcPr>
          <w:p w:rsidR="00DE4516" w:rsidRPr="00D60B80" w:rsidRDefault="00DE4516" w:rsidP="000744EF">
            <w:pPr>
              <w:jc w:val="both"/>
              <w:rPr>
                <w:rFonts w:ascii="Arial" w:hAnsi="Arial" w:cs="Arial"/>
              </w:rPr>
            </w:pPr>
            <w:r w:rsidRPr="00D60B80">
              <w:rPr>
                <w:rFonts w:ascii="Arial" w:hAnsi="Arial" w:cs="Arial"/>
              </w:rPr>
              <w:t>Roll out new programmes across the network</w:t>
            </w:r>
          </w:p>
        </w:tc>
        <w:tc>
          <w:tcPr>
            <w:tcW w:w="2268" w:type="dxa"/>
          </w:tcPr>
          <w:p w:rsidR="00DE4516" w:rsidRPr="00D60B80" w:rsidRDefault="00DE4516" w:rsidP="000744EF">
            <w:pPr>
              <w:jc w:val="both"/>
              <w:rPr>
                <w:rFonts w:ascii="Arial" w:hAnsi="Arial" w:cs="Arial"/>
              </w:rPr>
            </w:pPr>
            <w:r w:rsidRPr="00D60B80">
              <w:rPr>
                <w:rFonts w:ascii="Arial" w:hAnsi="Arial" w:cs="Arial"/>
              </w:rPr>
              <w:t>Establish high-level strategic alliances (HR, other sectors e.g. Police, local authorities)</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Establish what is currently being done</w:t>
            </w:r>
          </w:p>
        </w:tc>
        <w:tc>
          <w:tcPr>
            <w:tcW w:w="2268" w:type="dxa"/>
          </w:tcPr>
          <w:p w:rsidR="00DE4516" w:rsidRPr="00D60B80" w:rsidRDefault="00DE4516" w:rsidP="000744EF">
            <w:pPr>
              <w:jc w:val="both"/>
              <w:rPr>
                <w:rFonts w:ascii="Arial" w:hAnsi="Arial" w:cs="Arial"/>
              </w:rPr>
            </w:pPr>
            <w:r w:rsidRPr="00D60B80">
              <w:rPr>
                <w:rFonts w:ascii="Arial" w:hAnsi="Arial" w:cs="Arial"/>
              </w:rPr>
              <w:t>Define new programmes</w:t>
            </w:r>
          </w:p>
        </w:tc>
        <w:tc>
          <w:tcPr>
            <w:tcW w:w="2268" w:type="dxa"/>
          </w:tcPr>
          <w:p w:rsidR="00DE4516" w:rsidRPr="00D60B80" w:rsidRDefault="00DE4516" w:rsidP="000744EF">
            <w:pPr>
              <w:jc w:val="both"/>
              <w:rPr>
                <w:rFonts w:ascii="Arial" w:hAnsi="Arial" w:cs="Arial"/>
              </w:rPr>
            </w:pPr>
            <w:r w:rsidRPr="00D60B80">
              <w:rPr>
                <w:rFonts w:ascii="Arial" w:hAnsi="Arial" w:cs="Arial"/>
              </w:rPr>
              <w:t>Broaden range of simulation topics</w:t>
            </w:r>
          </w:p>
        </w:tc>
        <w:tc>
          <w:tcPr>
            <w:tcW w:w="2268" w:type="dxa"/>
          </w:tcPr>
          <w:p w:rsidR="00DE4516" w:rsidRPr="00D60B80" w:rsidRDefault="00DE4516" w:rsidP="000744EF">
            <w:pPr>
              <w:jc w:val="both"/>
              <w:rPr>
                <w:rFonts w:ascii="Arial" w:hAnsi="Arial" w:cs="Arial"/>
              </w:rPr>
            </w:pP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Set educational principles</w:t>
            </w:r>
          </w:p>
        </w:tc>
        <w:tc>
          <w:tcPr>
            <w:tcW w:w="2268" w:type="dxa"/>
          </w:tcPr>
          <w:p w:rsidR="00DE4516" w:rsidRPr="00D60B80" w:rsidRDefault="00DE4516" w:rsidP="000744EF">
            <w:pPr>
              <w:jc w:val="both"/>
              <w:rPr>
                <w:rFonts w:ascii="Arial" w:hAnsi="Arial" w:cs="Arial"/>
              </w:rPr>
            </w:pPr>
            <w:r w:rsidRPr="00D60B80">
              <w:rPr>
                <w:rFonts w:ascii="Arial" w:hAnsi="Arial" w:cs="Arial"/>
              </w:rPr>
              <w:t>Set simulation standards</w:t>
            </w:r>
          </w:p>
        </w:tc>
        <w:tc>
          <w:tcPr>
            <w:tcW w:w="2268" w:type="dxa"/>
          </w:tcPr>
          <w:p w:rsidR="00DE4516" w:rsidRPr="00190021" w:rsidRDefault="00DE4516" w:rsidP="000744EF">
            <w:pPr>
              <w:jc w:val="both"/>
              <w:rPr>
                <w:rFonts w:ascii="Arial" w:hAnsi="Arial" w:cs="Arial"/>
                <w:color w:val="000000"/>
              </w:rPr>
            </w:pPr>
            <w:r w:rsidRPr="00190021">
              <w:rPr>
                <w:rFonts w:ascii="Arial" w:hAnsi="Arial" w:cs="Arial"/>
                <w:color w:val="000000"/>
              </w:rPr>
              <w:t>Self-assess against simulation standards</w:t>
            </w:r>
          </w:p>
        </w:tc>
        <w:tc>
          <w:tcPr>
            <w:tcW w:w="2268" w:type="dxa"/>
          </w:tcPr>
          <w:p w:rsidR="00DE4516" w:rsidRPr="00190021" w:rsidRDefault="00DE4516" w:rsidP="000744EF">
            <w:pPr>
              <w:jc w:val="both"/>
              <w:rPr>
                <w:rFonts w:ascii="Arial" w:hAnsi="Arial" w:cs="Arial"/>
                <w:color w:val="000000"/>
              </w:rPr>
            </w:pPr>
            <w:r w:rsidRPr="00190021">
              <w:rPr>
                <w:rFonts w:ascii="Arial" w:hAnsi="Arial" w:cs="Arial"/>
                <w:color w:val="000000"/>
              </w:rPr>
              <w:t>Revise simulation standards as appropriate</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Develop stakeholder engagement plan</w:t>
            </w:r>
          </w:p>
        </w:tc>
        <w:tc>
          <w:tcPr>
            <w:tcW w:w="2268" w:type="dxa"/>
          </w:tcPr>
          <w:p w:rsidR="00DE4516" w:rsidRPr="00190021" w:rsidRDefault="00DE4516" w:rsidP="000744EF">
            <w:pPr>
              <w:jc w:val="both"/>
              <w:rPr>
                <w:rFonts w:ascii="Arial" w:hAnsi="Arial" w:cs="Arial"/>
                <w:color w:val="000000"/>
              </w:rPr>
            </w:pPr>
            <w:r w:rsidRPr="00190021">
              <w:rPr>
                <w:rFonts w:ascii="Arial" w:hAnsi="Arial" w:cs="Arial"/>
                <w:color w:val="000000"/>
              </w:rPr>
              <w:t>Establish and commission programme of CPD for Faculty</w:t>
            </w:r>
          </w:p>
        </w:tc>
        <w:tc>
          <w:tcPr>
            <w:tcW w:w="2268" w:type="dxa"/>
          </w:tcPr>
          <w:p w:rsidR="00DE4516" w:rsidRPr="00EE212D" w:rsidRDefault="00DE4516" w:rsidP="000744EF">
            <w:pPr>
              <w:jc w:val="both"/>
              <w:rPr>
                <w:rFonts w:ascii="Arial" w:hAnsi="Arial" w:cs="Arial"/>
                <w:color w:val="000000"/>
              </w:rPr>
            </w:pPr>
            <w:r w:rsidRPr="00EE212D">
              <w:rPr>
                <w:rFonts w:ascii="Arial" w:hAnsi="Arial" w:cs="Arial"/>
                <w:color w:val="000000"/>
              </w:rPr>
              <w:t>Roll out of three programmes of CPD for Faculty</w:t>
            </w:r>
          </w:p>
        </w:tc>
        <w:tc>
          <w:tcPr>
            <w:tcW w:w="2268" w:type="dxa"/>
          </w:tcPr>
          <w:p w:rsidR="00DE4516" w:rsidRPr="00D60B80" w:rsidRDefault="00DE4516" w:rsidP="000744EF">
            <w:pPr>
              <w:jc w:val="both"/>
              <w:rPr>
                <w:rFonts w:ascii="Arial" w:hAnsi="Arial" w:cs="Arial"/>
              </w:rPr>
            </w:pPr>
            <w:r>
              <w:rPr>
                <w:rFonts w:ascii="Arial" w:hAnsi="Arial" w:cs="Arial"/>
              </w:rPr>
              <w:t>Further three CPD programmes for Faculty made available</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Establish national links</w:t>
            </w:r>
          </w:p>
        </w:tc>
        <w:tc>
          <w:tcPr>
            <w:tcW w:w="2268" w:type="dxa"/>
          </w:tcPr>
          <w:p w:rsidR="00DE4516" w:rsidRPr="00D60B80" w:rsidRDefault="00DE4516" w:rsidP="000744EF">
            <w:pPr>
              <w:jc w:val="both"/>
              <w:rPr>
                <w:rFonts w:ascii="Arial" w:hAnsi="Arial" w:cs="Arial"/>
              </w:rPr>
            </w:pPr>
            <w:r w:rsidRPr="00D60B80">
              <w:rPr>
                <w:rFonts w:ascii="Arial" w:hAnsi="Arial" w:cs="Arial"/>
              </w:rPr>
              <w:t>Develop principles for Faculty release</w:t>
            </w: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Develop quality metrics and benchmarking</w:t>
            </w:r>
          </w:p>
        </w:tc>
        <w:tc>
          <w:tcPr>
            <w:tcW w:w="2268" w:type="dxa"/>
          </w:tcPr>
          <w:p w:rsidR="00DE4516" w:rsidRPr="00D60B80" w:rsidRDefault="00DE4516" w:rsidP="000744EF">
            <w:pPr>
              <w:jc w:val="both"/>
              <w:rPr>
                <w:rFonts w:ascii="Arial" w:hAnsi="Arial" w:cs="Arial"/>
              </w:rPr>
            </w:pPr>
            <w:r w:rsidRPr="00D60B80">
              <w:rPr>
                <w:rFonts w:ascii="Arial" w:hAnsi="Arial" w:cs="Arial"/>
              </w:rPr>
              <w:t>Build awareness of the network</w:t>
            </w: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Explore links to the VLE</w:t>
            </w:r>
          </w:p>
        </w:tc>
        <w:tc>
          <w:tcPr>
            <w:tcW w:w="2268" w:type="dxa"/>
          </w:tcPr>
          <w:p w:rsidR="00DE4516" w:rsidRPr="00D60B80" w:rsidRDefault="00DE4516" w:rsidP="000744EF">
            <w:pPr>
              <w:jc w:val="both"/>
              <w:rPr>
                <w:rFonts w:ascii="Arial" w:hAnsi="Arial" w:cs="Arial"/>
              </w:rPr>
            </w:pPr>
            <w:r w:rsidRPr="00D60B80">
              <w:rPr>
                <w:rFonts w:ascii="Arial" w:hAnsi="Arial" w:cs="Arial"/>
              </w:rPr>
              <w:t xml:space="preserve">Identify needs to HEIs, </w:t>
            </w:r>
            <w:smartTag w:uri="urn:schemas-microsoft-com:office:smarttags" w:element="place">
              <w:smartTag w:uri="urn:schemas-microsoft-com:office:smarttags" w:element="PlaceName">
                <w:r w:rsidRPr="00D60B80">
                  <w:rPr>
                    <w:rFonts w:ascii="Arial" w:hAnsi="Arial" w:cs="Arial"/>
                  </w:rPr>
                  <w:t>Medical</w:t>
                </w:r>
              </w:smartTag>
              <w:r w:rsidRPr="00D60B80">
                <w:rPr>
                  <w:rFonts w:ascii="Arial" w:hAnsi="Arial" w:cs="Arial"/>
                </w:rPr>
                <w:t xml:space="preserve"> </w:t>
              </w:r>
              <w:smartTag w:uri="urn:schemas-microsoft-com:office:smarttags" w:element="PlaceType">
                <w:r w:rsidRPr="00D60B80">
                  <w:rPr>
                    <w:rFonts w:ascii="Arial" w:hAnsi="Arial" w:cs="Arial"/>
                  </w:rPr>
                  <w:t>Schools</w:t>
                </w:r>
              </w:smartTag>
            </w:smartTag>
            <w:r w:rsidRPr="00D60B80">
              <w:rPr>
                <w:rFonts w:ascii="Arial" w:hAnsi="Arial" w:cs="Arial"/>
              </w:rPr>
              <w:t>, Education commissioners</w:t>
            </w:r>
          </w:p>
        </w:tc>
        <w:tc>
          <w:tcPr>
            <w:tcW w:w="2268" w:type="dxa"/>
          </w:tcPr>
          <w:p w:rsidR="00DE4516" w:rsidRPr="00D60B80" w:rsidRDefault="00DE4516" w:rsidP="000744EF">
            <w:pPr>
              <w:jc w:val="both"/>
              <w:rPr>
                <w:rFonts w:ascii="Arial" w:hAnsi="Arial" w:cs="Arial"/>
              </w:rPr>
            </w:pPr>
            <w:r w:rsidRPr="00D60B80">
              <w:rPr>
                <w:rFonts w:ascii="Arial" w:hAnsi="Arial" w:cs="Arial"/>
              </w:rPr>
              <w:t>Share learning with other bodies (Trusts, other healthcare providers)</w:t>
            </w:r>
          </w:p>
        </w:tc>
        <w:tc>
          <w:tcPr>
            <w:tcW w:w="2268" w:type="dxa"/>
          </w:tcPr>
          <w:p w:rsidR="00DE4516" w:rsidRPr="00D60B80" w:rsidRDefault="00DE4516" w:rsidP="000744EF">
            <w:pPr>
              <w:jc w:val="both"/>
              <w:rPr>
                <w:rFonts w:ascii="Arial" w:hAnsi="Arial" w:cs="Arial"/>
              </w:rPr>
            </w:pP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Develop communications systems and processes</w:t>
            </w:r>
          </w:p>
        </w:tc>
        <w:tc>
          <w:tcPr>
            <w:tcW w:w="2268" w:type="dxa"/>
          </w:tcPr>
          <w:p w:rsidR="00DE4516" w:rsidRPr="00D60B80" w:rsidRDefault="00DE4516" w:rsidP="000744EF">
            <w:pPr>
              <w:jc w:val="both"/>
              <w:rPr>
                <w:rFonts w:ascii="Arial" w:hAnsi="Arial" w:cs="Arial"/>
              </w:rPr>
            </w:pPr>
            <w:r w:rsidRPr="00D60B80">
              <w:rPr>
                <w:rFonts w:ascii="Arial" w:hAnsi="Arial" w:cs="Arial"/>
              </w:rPr>
              <w:t>Develop principles of accessibility</w:t>
            </w:r>
          </w:p>
        </w:tc>
        <w:tc>
          <w:tcPr>
            <w:tcW w:w="2268" w:type="dxa"/>
          </w:tcPr>
          <w:p w:rsidR="00DE4516" w:rsidRPr="00190021" w:rsidRDefault="00DE4516" w:rsidP="000744EF">
            <w:pPr>
              <w:jc w:val="both"/>
              <w:rPr>
                <w:rFonts w:ascii="Arial" w:hAnsi="Arial" w:cs="Arial"/>
                <w:color w:val="000000"/>
              </w:rPr>
            </w:pPr>
            <w:r w:rsidRPr="00190021">
              <w:rPr>
                <w:rFonts w:ascii="Arial" w:hAnsi="Arial" w:cs="Arial"/>
                <w:color w:val="000000"/>
              </w:rPr>
              <w:t>Self-assess against accessibility principles</w:t>
            </w:r>
          </w:p>
        </w:tc>
        <w:tc>
          <w:tcPr>
            <w:tcW w:w="2268" w:type="dxa"/>
          </w:tcPr>
          <w:p w:rsidR="00DE4516" w:rsidRPr="00190021" w:rsidRDefault="00DE4516" w:rsidP="000744EF">
            <w:pPr>
              <w:jc w:val="both"/>
              <w:rPr>
                <w:rFonts w:ascii="Arial" w:hAnsi="Arial" w:cs="Arial"/>
                <w:color w:val="000000"/>
              </w:rPr>
            </w:pPr>
            <w:r w:rsidRPr="00190021">
              <w:rPr>
                <w:rFonts w:ascii="Arial" w:hAnsi="Arial" w:cs="Arial"/>
                <w:color w:val="000000"/>
              </w:rPr>
              <w:t>Survey clinical staff to determine whether there are continuing accessibility issues</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Identify benefits</w:t>
            </w:r>
            <w:r>
              <w:rPr>
                <w:rFonts w:ascii="Arial" w:hAnsi="Arial" w:cs="Arial"/>
              </w:rPr>
              <w:t xml:space="preserve"> to monitor</w:t>
            </w: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Engagement event for champions</w:t>
            </w:r>
          </w:p>
        </w:tc>
        <w:tc>
          <w:tcPr>
            <w:tcW w:w="2268" w:type="dxa"/>
          </w:tcPr>
          <w:p w:rsidR="00DE4516" w:rsidRPr="00D60B80" w:rsidRDefault="00DE4516" w:rsidP="000744EF">
            <w:pPr>
              <w:jc w:val="both"/>
              <w:rPr>
                <w:rFonts w:ascii="Arial" w:hAnsi="Arial" w:cs="Arial"/>
              </w:rPr>
            </w:pPr>
            <w:r w:rsidRPr="00D60B80">
              <w:rPr>
                <w:rFonts w:ascii="Arial" w:hAnsi="Arial" w:cs="Arial"/>
              </w:rPr>
              <w:t>Engagement event for champions</w:t>
            </w:r>
          </w:p>
        </w:tc>
        <w:tc>
          <w:tcPr>
            <w:tcW w:w="2268" w:type="dxa"/>
          </w:tcPr>
          <w:p w:rsidR="00DE4516" w:rsidRPr="00D60B80" w:rsidRDefault="00DE4516" w:rsidP="000744EF">
            <w:pPr>
              <w:jc w:val="both"/>
              <w:rPr>
                <w:rFonts w:ascii="Arial" w:hAnsi="Arial" w:cs="Arial"/>
              </w:rPr>
            </w:pPr>
            <w:r w:rsidRPr="00D60B80">
              <w:rPr>
                <w:rFonts w:ascii="Arial" w:hAnsi="Arial" w:cs="Arial"/>
              </w:rPr>
              <w:t>Engagement event for champions</w:t>
            </w:r>
          </w:p>
        </w:tc>
        <w:tc>
          <w:tcPr>
            <w:tcW w:w="2268" w:type="dxa"/>
          </w:tcPr>
          <w:p w:rsidR="00DE4516" w:rsidRPr="00D60B80" w:rsidRDefault="00DE4516" w:rsidP="000744EF">
            <w:pPr>
              <w:jc w:val="both"/>
              <w:rPr>
                <w:rFonts w:ascii="Arial" w:hAnsi="Arial" w:cs="Arial"/>
              </w:rPr>
            </w:pPr>
            <w:r w:rsidRPr="00D60B80">
              <w:rPr>
                <w:rFonts w:ascii="Arial" w:hAnsi="Arial" w:cs="Arial"/>
              </w:rPr>
              <w:t>Engagement event for champions</w:t>
            </w:r>
          </w:p>
        </w:tc>
      </w:tr>
      <w:tr w:rsidR="00DE4516" w:rsidRPr="00D60B80" w:rsidTr="000744EF">
        <w:tc>
          <w:tcPr>
            <w:tcW w:w="2518" w:type="dxa"/>
          </w:tcPr>
          <w:p w:rsidR="00DE4516" w:rsidRPr="00D60B80" w:rsidRDefault="00DE4516" w:rsidP="000744EF">
            <w:pPr>
              <w:jc w:val="both"/>
              <w:rPr>
                <w:rFonts w:ascii="Arial" w:hAnsi="Arial" w:cs="Arial"/>
              </w:rPr>
            </w:pPr>
            <w:r w:rsidRPr="00D60B80">
              <w:rPr>
                <w:rFonts w:ascii="Arial" w:hAnsi="Arial" w:cs="Arial"/>
              </w:rPr>
              <w:t>Review progress</w:t>
            </w:r>
          </w:p>
        </w:tc>
        <w:tc>
          <w:tcPr>
            <w:tcW w:w="2268" w:type="dxa"/>
          </w:tcPr>
          <w:p w:rsidR="00DE4516" w:rsidRPr="00D60B80" w:rsidRDefault="00DE4516" w:rsidP="000744EF">
            <w:pPr>
              <w:jc w:val="both"/>
              <w:rPr>
                <w:rFonts w:ascii="Arial" w:hAnsi="Arial" w:cs="Arial"/>
              </w:rPr>
            </w:pPr>
            <w:r w:rsidRPr="00D60B80">
              <w:rPr>
                <w:rFonts w:ascii="Arial" w:hAnsi="Arial" w:cs="Arial"/>
              </w:rPr>
              <w:t>Review progress</w:t>
            </w:r>
          </w:p>
        </w:tc>
        <w:tc>
          <w:tcPr>
            <w:tcW w:w="2268" w:type="dxa"/>
          </w:tcPr>
          <w:p w:rsidR="00DE4516" w:rsidRPr="00D60B80" w:rsidRDefault="00DE4516" w:rsidP="000744EF">
            <w:pPr>
              <w:jc w:val="both"/>
              <w:rPr>
                <w:rFonts w:ascii="Arial" w:hAnsi="Arial" w:cs="Arial"/>
              </w:rPr>
            </w:pPr>
            <w:r w:rsidRPr="00D60B80">
              <w:rPr>
                <w:rFonts w:ascii="Arial" w:hAnsi="Arial" w:cs="Arial"/>
              </w:rPr>
              <w:t>Review progress</w:t>
            </w:r>
          </w:p>
        </w:tc>
        <w:tc>
          <w:tcPr>
            <w:tcW w:w="2268" w:type="dxa"/>
          </w:tcPr>
          <w:p w:rsidR="00DE4516" w:rsidRPr="00D60B80" w:rsidRDefault="00DE4516" w:rsidP="000744EF">
            <w:pPr>
              <w:jc w:val="both"/>
              <w:rPr>
                <w:rFonts w:ascii="Arial" w:hAnsi="Arial" w:cs="Arial"/>
              </w:rPr>
            </w:pPr>
            <w:r w:rsidRPr="00D60B80">
              <w:rPr>
                <w:rFonts w:ascii="Arial" w:hAnsi="Arial" w:cs="Arial"/>
              </w:rPr>
              <w:t>Review progress</w:t>
            </w:r>
          </w:p>
        </w:tc>
      </w:tr>
      <w:tr w:rsidR="00DE4516" w:rsidRPr="00D60B80" w:rsidTr="000744EF">
        <w:tc>
          <w:tcPr>
            <w:tcW w:w="251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c>
          <w:tcPr>
            <w:tcW w:w="2268" w:type="dxa"/>
          </w:tcPr>
          <w:p w:rsidR="00DE4516" w:rsidRPr="00D60B80" w:rsidRDefault="00DE4516" w:rsidP="000744EF">
            <w:pPr>
              <w:jc w:val="both"/>
              <w:rPr>
                <w:rFonts w:ascii="Arial" w:hAnsi="Arial" w:cs="Arial"/>
              </w:rPr>
            </w:pPr>
          </w:p>
        </w:tc>
      </w:tr>
    </w:tbl>
    <w:p w:rsidR="00DE4516" w:rsidRPr="0003314B" w:rsidRDefault="00DE4516" w:rsidP="00DE4516">
      <w:pPr>
        <w:jc w:val="both"/>
        <w:rPr>
          <w:rFonts w:ascii="Arial" w:hAnsi="Arial" w:cs="Arial"/>
        </w:rPr>
      </w:pPr>
    </w:p>
    <w:p w:rsidR="00DE4516" w:rsidRDefault="00DE4516" w:rsidP="00DE4516">
      <w:pPr>
        <w:jc w:val="both"/>
        <w:rPr>
          <w:rFonts w:ascii="Arial" w:hAnsi="Arial" w:cs="Arial"/>
        </w:rPr>
      </w:pPr>
    </w:p>
    <w:p w:rsidR="00F36F10" w:rsidRDefault="00F36F10" w:rsidP="00DE4516">
      <w:pPr>
        <w:jc w:val="both"/>
        <w:rPr>
          <w:rFonts w:ascii="Arial" w:hAnsi="Arial" w:cs="Arial"/>
        </w:rPr>
      </w:pPr>
    </w:p>
    <w:p w:rsidR="00F36F10" w:rsidRDefault="00F36F10" w:rsidP="00DE4516">
      <w:pPr>
        <w:jc w:val="both"/>
        <w:rPr>
          <w:rFonts w:ascii="Arial" w:hAnsi="Arial" w:cs="Arial"/>
        </w:rPr>
      </w:pPr>
    </w:p>
    <w:p w:rsidR="00F36F10" w:rsidRDefault="00F36F10" w:rsidP="00DE4516">
      <w:pPr>
        <w:jc w:val="both"/>
        <w:rPr>
          <w:rFonts w:ascii="Arial" w:hAnsi="Arial" w:cs="Arial"/>
        </w:rPr>
      </w:pPr>
    </w:p>
    <w:p w:rsidR="00DE4516" w:rsidRDefault="00DE4516" w:rsidP="00DE4516">
      <w:pPr>
        <w:jc w:val="both"/>
        <w:rPr>
          <w:rFonts w:ascii="Arial" w:hAnsi="Arial" w:cs="Arial"/>
        </w:rPr>
      </w:pPr>
      <w:r>
        <w:rPr>
          <w:rFonts w:ascii="Arial" w:hAnsi="Arial" w:cs="Arial"/>
        </w:rPr>
        <w:lastRenderedPageBreak/>
        <w:t>COSTS</w:t>
      </w:r>
    </w:p>
    <w:p w:rsidR="00DE4516" w:rsidRDefault="00DE4516" w:rsidP="00DE4516">
      <w:pPr>
        <w:jc w:val="both"/>
        <w:rPr>
          <w:rFonts w:ascii="Arial" w:hAnsi="Arial" w:cs="Arial"/>
        </w:rPr>
      </w:pPr>
    </w:p>
    <w:p w:rsidR="00DE4516" w:rsidRDefault="00DE4516" w:rsidP="00DE4516">
      <w:pPr>
        <w:jc w:val="both"/>
        <w:rPr>
          <w:rFonts w:ascii="Arial" w:hAnsi="Arial" w:cs="Arial"/>
        </w:rPr>
      </w:pPr>
      <w:r>
        <w:rPr>
          <w:rFonts w:ascii="Arial" w:hAnsi="Arial" w:cs="Arial"/>
        </w:rPr>
        <w:t xml:space="preserve">Much of the action plan can be delivered by giving the staff involved permission and authority to adopt and follow the plan.  However there will be some costs in implementing this action plan.  </w:t>
      </w:r>
    </w:p>
    <w:p w:rsidR="00DE4516" w:rsidRDefault="00DE4516" w:rsidP="00DE4516">
      <w:pPr>
        <w:jc w:val="both"/>
        <w:rPr>
          <w:rFonts w:ascii="Arial" w:hAnsi="Arial" w:cs="Arial"/>
        </w:rPr>
      </w:pPr>
    </w:p>
    <w:p w:rsidR="00DE4516" w:rsidRPr="00EE212D" w:rsidRDefault="00DE4516" w:rsidP="00DE4516">
      <w:pPr>
        <w:jc w:val="both"/>
        <w:rPr>
          <w:rFonts w:ascii="Arial" w:hAnsi="Arial" w:cs="Arial"/>
          <w:color w:val="000000"/>
        </w:rPr>
      </w:pPr>
      <w:r>
        <w:rPr>
          <w:rFonts w:ascii="Arial" w:hAnsi="Arial" w:cs="Arial"/>
        </w:rPr>
        <w:t xml:space="preserve">The </w:t>
      </w:r>
      <w:r w:rsidR="00E82C82">
        <w:rPr>
          <w:rFonts w:ascii="Arial" w:hAnsi="Arial" w:cs="Arial"/>
        </w:rPr>
        <w:t>initial direct</w:t>
      </w:r>
      <w:r>
        <w:rPr>
          <w:rFonts w:ascii="Arial" w:hAnsi="Arial" w:cs="Arial"/>
        </w:rPr>
        <w:t xml:space="preserve"> costs of the proposed approach outlined above are for a series of stakeholder events. These are likely to be in the region of £5,000 p.a. </w:t>
      </w:r>
      <w:r w:rsidRPr="00EE212D">
        <w:rPr>
          <w:rFonts w:ascii="Arial" w:hAnsi="Arial" w:cs="Arial"/>
          <w:color w:val="000000"/>
        </w:rPr>
        <w:t>In addition</w:t>
      </w:r>
      <w:r w:rsidRPr="00875B95">
        <w:rPr>
          <w:rFonts w:ascii="Arial" w:hAnsi="Arial" w:cs="Arial"/>
          <w:color w:val="000000"/>
        </w:rPr>
        <w:t xml:space="preserve">, there will be similar costs associated with developing a CPD programme for the simulation Faculty. </w:t>
      </w:r>
      <w:r w:rsidRPr="00EE212D">
        <w:rPr>
          <w:rFonts w:ascii="Arial" w:hAnsi="Arial" w:cs="Arial"/>
          <w:color w:val="000000"/>
        </w:rPr>
        <w:t xml:space="preserve">Administrative support will also be required. </w:t>
      </w:r>
    </w:p>
    <w:p w:rsidR="00DE4516" w:rsidRPr="00EE212D" w:rsidRDefault="00DE4516" w:rsidP="00DE4516">
      <w:pPr>
        <w:jc w:val="both"/>
        <w:rPr>
          <w:rFonts w:ascii="Arial" w:hAnsi="Arial" w:cs="Arial"/>
          <w:color w:val="000000"/>
        </w:rPr>
      </w:pPr>
    </w:p>
    <w:p w:rsidR="00DE4516" w:rsidRPr="00EE212D" w:rsidRDefault="00DE4516" w:rsidP="00DE4516">
      <w:pPr>
        <w:jc w:val="both"/>
        <w:rPr>
          <w:rFonts w:ascii="Arial" w:hAnsi="Arial" w:cs="Arial"/>
          <w:color w:val="000000"/>
        </w:rPr>
      </w:pPr>
      <w:r w:rsidRPr="00EE212D">
        <w:rPr>
          <w:rFonts w:ascii="Arial" w:hAnsi="Arial" w:cs="Arial"/>
          <w:color w:val="000000"/>
        </w:rPr>
        <w:t xml:space="preserve">Indirect costs will arise from the involvement of experienced staff in much of the activity outlined above. This will mainly be in the form of release from other duties and potential backfill. This may require some pump priming money to be made available to participating organisations in order to facilitate the availability of these staff and develop the educational programme. The estimated cost for this activity is £10,000. Additionally, from year 3, there will be a cost associated with rolling out the educational programmes. Assuming that there are three new programmes per year, the cost of this is likely to be in the region of £15,000 p.a. </w:t>
      </w:r>
    </w:p>
    <w:p w:rsidR="00DE4516" w:rsidRPr="00EE212D" w:rsidRDefault="00DE4516" w:rsidP="00DE4516">
      <w:pPr>
        <w:jc w:val="both"/>
        <w:rPr>
          <w:rFonts w:ascii="Arial" w:hAnsi="Arial" w:cs="Arial"/>
          <w:color w:val="000000"/>
        </w:rPr>
      </w:pPr>
    </w:p>
    <w:p w:rsidR="00DE4516" w:rsidRPr="00EE212D" w:rsidRDefault="00DE4516" w:rsidP="00DE4516">
      <w:pPr>
        <w:jc w:val="both"/>
        <w:rPr>
          <w:rFonts w:ascii="Arial" w:hAnsi="Arial" w:cs="Arial"/>
          <w:color w:val="000000"/>
        </w:rPr>
      </w:pPr>
      <w:r w:rsidRPr="00EE212D">
        <w:rPr>
          <w:rFonts w:ascii="Arial" w:hAnsi="Arial" w:cs="Arial"/>
          <w:color w:val="000000"/>
        </w:rPr>
        <w:t>Costs per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30"/>
        <w:gridCol w:w="2131"/>
        <w:gridCol w:w="2131"/>
      </w:tblGrid>
      <w:tr w:rsidR="00DE4516" w:rsidRPr="00A443D3" w:rsidTr="000744EF">
        <w:tc>
          <w:tcPr>
            <w:tcW w:w="2130" w:type="dxa"/>
          </w:tcPr>
          <w:p w:rsidR="00DE4516" w:rsidRPr="00A443D3" w:rsidRDefault="00DE4516" w:rsidP="000744EF">
            <w:pPr>
              <w:jc w:val="both"/>
              <w:rPr>
                <w:rFonts w:ascii="Arial" w:hAnsi="Arial" w:cs="Arial"/>
                <w:color w:val="000000"/>
              </w:rPr>
            </w:pPr>
            <w:r w:rsidRPr="00A443D3">
              <w:rPr>
                <w:rFonts w:ascii="Arial" w:hAnsi="Arial" w:cs="Arial"/>
                <w:color w:val="000000"/>
              </w:rPr>
              <w:t>Year 1</w:t>
            </w:r>
          </w:p>
        </w:tc>
        <w:tc>
          <w:tcPr>
            <w:tcW w:w="2130" w:type="dxa"/>
          </w:tcPr>
          <w:p w:rsidR="00DE4516" w:rsidRPr="00A443D3" w:rsidRDefault="00DE4516" w:rsidP="000744EF">
            <w:pPr>
              <w:jc w:val="both"/>
              <w:rPr>
                <w:rFonts w:ascii="Arial" w:hAnsi="Arial" w:cs="Arial"/>
                <w:color w:val="000000"/>
              </w:rPr>
            </w:pPr>
            <w:r w:rsidRPr="00A443D3">
              <w:rPr>
                <w:rFonts w:ascii="Arial" w:hAnsi="Arial" w:cs="Arial"/>
                <w:color w:val="000000"/>
              </w:rPr>
              <w:t>Year 2</w:t>
            </w:r>
          </w:p>
        </w:tc>
        <w:tc>
          <w:tcPr>
            <w:tcW w:w="2131" w:type="dxa"/>
          </w:tcPr>
          <w:p w:rsidR="00DE4516" w:rsidRPr="00A443D3" w:rsidRDefault="00DE4516" w:rsidP="000744EF">
            <w:pPr>
              <w:jc w:val="both"/>
              <w:rPr>
                <w:rFonts w:ascii="Arial" w:hAnsi="Arial" w:cs="Arial"/>
                <w:color w:val="000000"/>
              </w:rPr>
            </w:pPr>
            <w:r w:rsidRPr="00A443D3">
              <w:rPr>
                <w:rFonts w:ascii="Arial" w:hAnsi="Arial" w:cs="Arial"/>
                <w:color w:val="000000"/>
              </w:rPr>
              <w:t>Year 3</w:t>
            </w:r>
          </w:p>
        </w:tc>
        <w:tc>
          <w:tcPr>
            <w:tcW w:w="2131" w:type="dxa"/>
          </w:tcPr>
          <w:p w:rsidR="00DE4516" w:rsidRPr="00A443D3" w:rsidRDefault="00DE4516" w:rsidP="000744EF">
            <w:pPr>
              <w:jc w:val="both"/>
              <w:rPr>
                <w:rFonts w:ascii="Arial" w:hAnsi="Arial" w:cs="Arial"/>
                <w:color w:val="000000"/>
              </w:rPr>
            </w:pPr>
            <w:r w:rsidRPr="00A443D3">
              <w:rPr>
                <w:rFonts w:ascii="Arial" w:hAnsi="Arial" w:cs="Arial"/>
                <w:color w:val="000000"/>
              </w:rPr>
              <w:t>Year 4</w:t>
            </w:r>
          </w:p>
        </w:tc>
      </w:tr>
      <w:tr w:rsidR="00DE4516" w:rsidRPr="00A443D3" w:rsidTr="000744EF">
        <w:tc>
          <w:tcPr>
            <w:tcW w:w="2130" w:type="dxa"/>
          </w:tcPr>
          <w:p w:rsidR="00DE4516" w:rsidRPr="00A443D3" w:rsidRDefault="00DE4516" w:rsidP="000744EF">
            <w:pPr>
              <w:jc w:val="both"/>
              <w:rPr>
                <w:rFonts w:ascii="Arial" w:hAnsi="Arial" w:cs="Arial"/>
                <w:color w:val="000000"/>
              </w:rPr>
            </w:pPr>
            <w:r w:rsidRPr="00A443D3">
              <w:rPr>
                <w:rFonts w:ascii="Arial" w:hAnsi="Arial" w:cs="Arial"/>
                <w:color w:val="000000"/>
              </w:rPr>
              <w:t>£20,000</w:t>
            </w:r>
          </w:p>
        </w:tc>
        <w:tc>
          <w:tcPr>
            <w:tcW w:w="2130" w:type="dxa"/>
          </w:tcPr>
          <w:p w:rsidR="00DE4516" w:rsidRPr="00A443D3" w:rsidRDefault="00DE4516" w:rsidP="000744EF">
            <w:pPr>
              <w:jc w:val="both"/>
              <w:rPr>
                <w:rFonts w:ascii="Arial" w:hAnsi="Arial" w:cs="Arial"/>
                <w:color w:val="000000"/>
              </w:rPr>
            </w:pPr>
            <w:r w:rsidRPr="00A443D3">
              <w:rPr>
                <w:rFonts w:ascii="Arial" w:hAnsi="Arial" w:cs="Arial"/>
                <w:color w:val="000000"/>
              </w:rPr>
              <w:t>£25,000</w:t>
            </w:r>
          </w:p>
        </w:tc>
        <w:tc>
          <w:tcPr>
            <w:tcW w:w="2131" w:type="dxa"/>
          </w:tcPr>
          <w:p w:rsidR="00DE4516" w:rsidRPr="00A443D3" w:rsidRDefault="00DE4516" w:rsidP="000744EF">
            <w:pPr>
              <w:jc w:val="both"/>
              <w:rPr>
                <w:rFonts w:ascii="Arial" w:hAnsi="Arial" w:cs="Arial"/>
                <w:color w:val="000000"/>
              </w:rPr>
            </w:pPr>
            <w:r w:rsidRPr="00A443D3">
              <w:rPr>
                <w:rFonts w:ascii="Arial" w:hAnsi="Arial" w:cs="Arial"/>
                <w:color w:val="000000"/>
              </w:rPr>
              <w:t>£40,000</w:t>
            </w:r>
          </w:p>
        </w:tc>
        <w:tc>
          <w:tcPr>
            <w:tcW w:w="2131" w:type="dxa"/>
          </w:tcPr>
          <w:p w:rsidR="00DE4516" w:rsidRPr="00A443D3" w:rsidRDefault="00DE4516" w:rsidP="000744EF">
            <w:pPr>
              <w:jc w:val="both"/>
              <w:rPr>
                <w:rFonts w:ascii="Arial" w:hAnsi="Arial" w:cs="Arial"/>
                <w:color w:val="000000"/>
              </w:rPr>
            </w:pPr>
            <w:r w:rsidRPr="00A443D3">
              <w:rPr>
                <w:rFonts w:ascii="Arial" w:hAnsi="Arial" w:cs="Arial"/>
                <w:color w:val="000000"/>
              </w:rPr>
              <w:t>£55,000</w:t>
            </w:r>
          </w:p>
        </w:tc>
      </w:tr>
    </w:tbl>
    <w:p w:rsidR="00DE4516" w:rsidRDefault="00DE4516" w:rsidP="00DE4516">
      <w:pPr>
        <w:jc w:val="both"/>
        <w:rPr>
          <w:rFonts w:ascii="Arial" w:hAnsi="Arial" w:cs="Arial"/>
          <w:color w:val="00B050"/>
        </w:rPr>
      </w:pPr>
    </w:p>
    <w:p w:rsidR="00DE4516" w:rsidRPr="00EF005E" w:rsidRDefault="00DE4516" w:rsidP="00DE4516">
      <w:pPr>
        <w:jc w:val="both"/>
        <w:rPr>
          <w:rFonts w:ascii="Arial" w:hAnsi="Arial" w:cs="Arial"/>
          <w:color w:val="00B050"/>
        </w:rPr>
      </w:pPr>
    </w:p>
    <w:p w:rsidR="00DE4516" w:rsidRPr="00434F99" w:rsidRDefault="00DE4516" w:rsidP="00DE4516">
      <w:pPr>
        <w:jc w:val="both"/>
        <w:rPr>
          <w:rFonts w:ascii="Arial" w:hAnsi="Arial" w:cs="Arial"/>
        </w:rPr>
      </w:pPr>
      <w:r w:rsidRPr="00434F99">
        <w:rPr>
          <w:rFonts w:ascii="Arial" w:hAnsi="Arial" w:cs="Arial"/>
        </w:rPr>
        <w:t xml:space="preserve">For a </w:t>
      </w:r>
      <w:r>
        <w:rPr>
          <w:rFonts w:ascii="Arial" w:hAnsi="Arial" w:cs="Arial"/>
        </w:rPr>
        <w:t>reasonable</w:t>
      </w:r>
      <w:r w:rsidRPr="00434F99">
        <w:rPr>
          <w:rFonts w:ascii="Arial" w:hAnsi="Arial" w:cs="Arial"/>
        </w:rPr>
        <w:t xml:space="preserve"> initial investment, work can commence immediately on enabling the </w:t>
      </w:r>
      <w:smartTag w:uri="urn:schemas-microsoft-com:office:smarttags" w:element="place">
        <w:r w:rsidRPr="00434F99">
          <w:rPr>
            <w:rFonts w:ascii="Arial" w:hAnsi="Arial" w:cs="Arial"/>
          </w:rPr>
          <w:t>East Midlands</w:t>
        </w:r>
      </w:smartTag>
      <w:r w:rsidRPr="00434F99">
        <w:rPr>
          <w:rFonts w:ascii="Arial" w:hAnsi="Arial" w:cs="Arial"/>
        </w:rPr>
        <w:t xml:space="preserve"> to reduce the gap with other SHAs in simulation provision. However, further investment may be required if step changes are identified as necessary to enhance overall provision in the medium term.</w:t>
      </w:r>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p>
    <w:p w:rsidR="00DE4516" w:rsidRPr="0003314B" w:rsidRDefault="00DE4516" w:rsidP="00DE4516">
      <w:pPr>
        <w:jc w:val="both"/>
        <w:rPr>
          <w:rFonts w:ascii="Arial" w:hAnsi="Arial" w:cs="Arial"/>
        </w:rPr>
      </w:pPr>
      <w:r w:rsidRPr="0003314B">
        <w:rPr>
          <w:rFonts w:ascii="Arial" w:hAnsi="Arial" w:cs="Arial"/>
        </w:rPr>
        <w:t>MONITORING</w:t>
      </w:r>
    </w:p>
    <w:p w:rsidR="00DE4516" w:rsidRDefault="00DE4516" w:rsidP="00DE4516">
      <w:pPr>
        <w:jc w:val="both"/>
        <w:rPr>
          <w:rFonts w:ascii="Arial" w:hAnsi="Arial" w:cs="Arial"/>
        </w:rPr>
      </w:pPr>
    </w:p>
    <w:p w:rsidR="00DE4516" w:rsidRPr="0003314B" w:rsidRDefault="00DE4516" w:rsidP="00DE4516">
      <w:pPr>
        <w:jc w:val="both"/>
        <w:rPr>
          <w:rFonts w:ascii="Arial" w:hAnsi="Arial" w:cs="Arial"/>
        </w:rPr>
      </w:pPr>
      <w:r>
        <w:rPr>
          <w:rFonts w:ascii="Arial" w:hAnsi="Arial" w:cs="Arial"/>
        </w:rPr>
        <w:t xml:space="preserve">The success of this strategy will be apparent if, in five years time, there is clear evidence of: </w:t>
      </w:r>
    </w:p>
    <w:p w:rsidR="00DE4516" w:rsidRPr="0003314B" w:rsidRDefault="00DE4516" w:rsidP="00DE4516">
      <w:pPr>
        <w:ind w:left="360"/>
        <w:jc w:val="both"/>
        <w:rPr>
          <w:rFonts w:ascii="Arial" w:hAnsi="Arial" w:cs="Arial"/>
        </w:rPr>
      </w:pP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t>less variable access to simulation facilities, equipment, skilled personnel and learning opportunities, monitored via surveys</w:t>
      </w: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t>a well established distributed network of simulation experts, working effectively to support each other</w:t>
      </w: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t>increased demand for simulation as a preferred method of learning, monitored via data on simulation facility bookings and training programme requirements</w:t>
      </w: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t>a training and development programme for the faculty of educators</w:t>
      </w: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t>inclusion of time to deliver simulation training within the job plans of relevant clinical staff</w:t>
      </w:r>
    </w:p>
    <w:p w:rsidR="00DE4516" w:rsidRPr="00A713FD" w:rsidRDefault="00DE4516" w:rsidP="00DE4516">
      <w:pPr>
        <w:numPr>
          <w:ilvl w:val="0"/>
          <w:numId w:val="3"/>
        </w:numPr>
        <w:tabs>
          <w:tab w:val="clear" w:pos="720"/>
          <w:tab w:val="num" w:pos="0"/>
        </w:tabs>
        <w:ind w:hanging="720"/>
        <w:jc w:val="both"/>
        <w:rPr>
          <w:rFonts w:ascii="Arial" w:hAnsi="Arial" w:cs="Arial"/>
          <w:color w:val="000000"/>
        </w:rPr>
      </w:pPr>
      <w:r w:rsidRPr="00A713FD">
        <w:rPr>
          <w:rFonts w:ascii="Arial" w:hAnsi="Arial" w:cs="Arial"/>
          <w:color w:val="000000"/>
        </w:rPr>
        <w:lastRenderedPageBreak/>
        <w:t xml:space="preserve">demonstrable improvements in patient care, evidenced by reduced morbidity rates, hospital stay and serious untoward incidents, &amp; improved patient satisfaction which can clearly be attributed to the availability of improved simulation provision </w:t>
      </w:r>
    </w:p>
    <w:p w:rsidR="00DE4516" w:rsidRPr="00A713FD" w:rsidRDefault="00DE4516" w:rsidP="00DE4516">
      <w:pPr>
        <w:numPr>
          <w:ilvl w:val="0"/>
          <w:numId w:val="3"/>
        </w:numPr>
        <w:ind w:hanging="720"/>
        <w:jc w:val="both"/>
        <w:rPr>
          <w:rFonts w:ascii="Arial" w:hAnsi="Arial" w:cs="Arial"/>
          <w:color w:val="000000"/>
        </w:rPr>
      </w:pPr>
      <w:r w:rsidRPr="00A713FD">
        <w:rPr>
          <w:rFonts w:ascii="Arial" w:hAnsi="Arial" w:cs="Arial"/>
          <w:color w:val="000000"/>
        </w:rPr>
        <w:t>in-hospital cardiac arrest survival rates are better than the national average, attributable to simulation training</w:t>
      </w:r>
    </w:p>
    <w:p w:rsidR="00DE4516" w:rsidRDefault="00DE4516" w:rsidP="00DE4516">
      <w:pPr>
        <w:numPr>
          <w:ilvl w:val="0"/>
          <w:numId w:val="3"/>
        </w:numPr>
        <w:ind w:hanging="720"/>
        <w:jc w:val="both"/>
        <w:rPr>
          <w:rFonts w:ascii="Arial" w:hAnsi="Arial" w:cs="Arial"/>
        </w:rPr>
      </w:pPr>
      <w:r w:rsidRPr="00B72CE7">
        <w:rPr>
          <w:rFonts w:ascii="Arial" w:hAnsi="Arial" w:cs="Arial"/>
        </w:rPr>
        <w:t>evidence of simulation being embedded in the clinical governance reporting policy of health care providers</w:t>
      </w:r>
    </w:p>
    <w:p w:rsidR="00DE4516" w:rsidRPr="00A713FD" w:rsidRDefault="00DE4516" w:rsidP="00DE4516">
      <w:pPr>
        <w:numPr>
          <w:ilvl w:val="0"/>
          <w:numId w:val="3"/>
        </w:numPr>
        <w:ind w:hanging="720"/>
        <w:jc w:val="both"/>
        <w:rPr>
          <w:rFonts w:ascii="Arial" w:hAnsi="Arial" w:cs="Arial"/>
          <w:color w:val="000000"/>
        </w:rPr>
      </w:pPr>
      <w:r w:rsidRPr="00A713FD">
        <w:rPr>
          <w:rFonts w:ascii="Arial" w:hAnsi="Arial" w:cs="Arial"/>
          <w:color w:val="000000"/>
        </w:rPr>
        <w:t xml:space="preserve">an emerging, locally generated, evidence base proving which simulation techniques and training are most effective </w:t>
      </w:r>
    </w:p>
    <w:p w:rsidR="00DE4516" w:rsidRPr="0003314B" w:rsidRDefault="00DE4516" w:rsidP="00DE4516">
      <w:pPr>
        <w:jc w:val="both"/>
        <w:rPr>
          <w:rFonts w:ascii="Arial" w:hAnsi="Arial" w:cs="Arial"/>
        </w:rPr>
      </w:pPr>
    </w:p>
    <w:p w:rsidR="00DE4516" w:rsidRDefault="00DE4516" w:rsidP="00DE4516"/>
    <w:p w:rsidR="00B33B43" w:rsidRPr="0048464B" w:rsidRDefault="00B33B43" w:rsidP="00DE4516">
      <w:pPr>
        <w:jc w:val="center"/>
        <w:rPr>
          <w:rFonts w:ascii="Arial" w:hAnsi="Arial" w:cs="Arial"/>
          <w:color w:val="000000"/>
        </w:rPr>
      </w:pPr>
    </w:p>
    <w:sectPr w:rsidR="00B33B43" w:rsidRPr="0048464B" w:rsidSect="00F36F10">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95" w:rsidRDefault="00B97795">
      <w:r>
        <w:separator/>
      </w:r>
    </w:p>
  </w:endnote>
  <w:endnote w:type="continuationSeparator" w:id="0">
    <w:p w:rsidR="00B97795" w:rsidRDefault="00B9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95" w:rsidRDefault="004073C1">
    <w:pPr>
      <w:pStyle w:val="Footer"/>
      <w:jc w:val="center"/>
    </w:pPr>
    <w:r>
      <w:fldChar w:fldCharType="begin"/>
    </w:r>
    <w:r>
      <w:instrText xml:space="preserve"> FILENA</w:instrText>
    </w:r>
    <w:r>
      <w:instrText xml:space="preserve">ME  \p  \* MERGEFORMAT </w:instrText>
    </w:r>
    <w:r>
      <w:fldChar w:fldCharType="separate"/>
    </w:r>
    <w:r>
      <w:rPr>
        <w:noProof/>
      </w:rPr>
      <w:t>P:\Corporate Team\Projects\Simulation Strategy\Strategy documents\SMT_emsha_simulation_strategy Oct 11.docx</w:t>
    </w:r>
    <w:r>
      <w:rPr>
        <w:noProof/>
      </w:rPr>
      <w:fldChar w:fldCharType="end"/>
    </w:r>
  </w:p>
  <w:p w:rsidR="00B97795" w:rsidRDefault="004073C1">
    <w:pPr>
      <w:pStyle w:val="Footer"/>
      <w:jc w:val="center"/>
    </w:pPr>
    <w:r>
      <w:fldChar w:fldCharType="begin"/>
    </w:r>
    <w:r>
      <w:instrText xml:space="preserve"> PAGE   \* MERGEFORMAT </w:instrText>
    </w:r>
    <w:r>
      <w:fldChar w:fldCharType="separate"/>
    </w:r>
    <w:r>
      <w:rPr>
        <w:noProof/>
      </w:rPr>
      <w:t>2</w:t>
    </w:r>
    <w:r>
      <w:rPr>
        <w:noProof/>
      </w:rPr>
      <w:fldChar w:fldCharType="end"/>
    </w:r>
  </w:p>
  <w:p w:rsidR="00B97795" w:rsidRDefault="00B9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95" w:rsidRDefault="00B97795">
      <w:r>
        <w:separator/>
      </w:r>
    </w:p>
  </w:footnote>
  <w:footnote w:type="continuationSeparator" w:id="0">
    <w:p w:rsidR="00B97795" w:rsidRDefault="00B9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87B8D"/>
    <w:multiLevelType w:val="hybridMultilevel"/>
    <w:tmpl w:val="252A1776"/>
    <w:lvl w:ilvl="0" w:tplc="459E1E4E">
      <w:start w:val="1"/>
      <w:numFmt w:val="bullet"/>
      <w:lvlText w:val=""/>
      <w:lvlJc w:val="left"/>
      <w:pPr>
        <w:tabs>
          <w:tab w:val="num" w:pos="878"/>
        </w:tabs>
        <w:ind w:left="180" w:firstLine="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
    <w:nsid w:val="3622074C"/>
    <w:multiLevelType w:val="hybridMultilevel"/>
    <w:tmpl w:val="4060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D52E4D"/>
    <w:multiLevelType w:val="hybridMultilevel"/>
    <w:tmpl w:val="D9A4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BE1D86"/>
    <w:multiLevelType w:val="hybridMultilevel"/>
    <w:tmpl w:val="412EDD5E"/>
    <w:lvl w:ilvl="0" w:tplc="26D41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3C304A"/>
    <w:multiLevelType w:val="hybridMultilevel"/>
    <w:tmpl w:val="3E3E427A"/>
    <w:lvl w:ilvl="0" w:tplc="4274AB7C">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1BE5A77"/>
    <w:multiLevelType w:val="hybridMultilevel"/>
    <w:tmpl w:val="B47CA3EA"/>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991BC9"/>
    <w:rsid w:val="00012B69"/>
    <w:rsid w:val="000137F4"/>
    <w:rsid w:val="000274AC"/>
    <w:rsid w:val="00032D48"/>
    <w:rsid w:val="00040809"/>
    <w:rsid w:val="00040DF6"/>
    <w:rsid w:val="00042E3A"/>
    <w:rsid w:val="00046FF1"/>
    <w:rsid w:val="000516E3"/>
    <w:rsid w:val="000561AC"/>
    <w:rsid w:val="000734FF"/>
    <w:rsid w:val="000744EF"/>
    <w:rsid w:val="00080227"/>
    <w:rsid w:val="000827CC"/>
    <w:rsid w:val="00095CCE"/>
    <w:rsid w:val="000A0421"/>
    <w:rsid w:val="000A181A"/>
    <w:rsid w:val="001332F2"/>
    <w:rsid w:val="0018282A"/>
    <w:rsid w:val="0019629A"/>
    <w:rsid w:val="001B549A"/>
    <w:rsid w:val="001B72E8"/>
    <w:rsid w:val="001E672E"/>
    <w:rsid w:val="001F435B"/>
    <w:rsid w:val="0028143A"/>
    <w:rsid w:val="00281540"/>
    <w:rsid w:val="002C1D28"/>
    <w:rsid w:val="002C709C"/>
    <w:rsid w:val="00303445"/>
    <w:rsid w:val="00350D23"/>
    <w:rsid w:val="00370271"/>
    <w:rsid w:val="00380A46"/>
    <w:rsid w:val="003B373C"/>
    <w:rsid w:val="004073C1"/>
    <w:rsid w:val="004718EA"/>
    <w:rsid w:val="0048464B"/>
    <w:rsid w:val="00485006"/>
    <w:rsid w:val="004D0A00"/>
    <w:rsid w:val="004F5033"/>
    <w:rsid w:val="00524613"/>
    <w:rsid w:val="00537298"/>
    <w:rsid w:val="00562FDD"/>
    <w:rsid w:val="00584468"/>
    <w:rsid w:val="005B4A4F"/>
    <w:rsid w:val="005D22A1"/>
    <w:rsid w:val="005D444A"/>
    <w:rsid w:val="00604CE5"/>
    <w:rsid w:val="00606602"/>
    <w:rsid w:val="00620C63"/>
    <w:rsid w:val="00625FA0"/>
    <w:rsid w:val="00653EF8"/>
    <w:rsid w:val="0067660A"/>
    <w:rsid w:val="006E1DCF"/>
    <w:rsid w:val="0070123A"/>
    <w:rsid w:val="00717C0D"/>
    <w:rsid w:val="00761398"/>
    <w:rsid w:val="007858C6"/>
    <w:rsid w:val="0079181B"/>
    <w:rsid w:val="00791C2B"/>
    <w:rsid w:val="00794167"/>
    <w:rsid w:val="007D266E"/>
    <w:rsid w:val="007E3AEA"/>
    <w:rsid w:val="007E67E3"/>
    <w:rsid w:val="00812FD6"/>
    <w:rsid w:val="0082268B"/>
    <w:rsid w:val="008562AF"/>
    <w:rsid w:val="008738C8"/>
    <w:rsid w:val="0089174C"/>
    <w:rsid w:val="00894AF5"/>
    <w:rsid w:val="008B5EB9"/>
    <w:rsid w:val="008C14E8"/>
    <w:rsid w:val="008D2E28"/>
    <w:rsid w:val="00904A65"/>
    <w:rsid w:val="00925077"/>
    <w:rsid w:val="00957050"/>
    <w:rsid w:val="00991BC9"/>
    <w:rsid w:val="009941A7"/>
    <w:rsid w:val="009A540C"/>
    <w:rsid w:val="009F1086"/>
    <w:rsid w:val="00A15392"/>
    <w:rsid w:val="00A263E7"/>
    <w:rsid w:val="00A77D6A"/>
    <w:rsid w:val="00B1550C"/>
    <w:rsid w:val="00B30471"/>
    <w:rsid w:val="00B33B43"/>
    <w:rsid w:val="00B42B47"/>
    <w:rsid w:val="00B5122B"/>
    <w:rsid w:val="00B66A6F"/>
    <w:rsid w:val="00B97795"/>
    <w:rsid w:val="00BA4A5B"/>
    <w:rsid w:val="00BC0578"/>
    <w:rsid w:val="00C476EA"/>
    <w:rsid w:val="00C73F68"/>
    <w:rsid w:val="00C81A0D"/>
    <w:rsid w:val="00CB5BE8"/>
    <w:rsid w:val="00CB5EC3"/>
    <w:rsid w:val="00CD4CA0"/>
    <w:rsid w:val="00CF173D"/>
    <w:rsid w:val="00D238B8"/>
    <w:rsid w:val="00D41A0B"/>
    <w:rsid w:val="00D45764"/>
    <w:rsid w:val="00D560B7"/>
    <w:rsid w:val="00D9196F"/>
    <w:rsid w:val="00DE4516"/>
    <w:rsid w:val="00E12C62"/>
    <w:rsid w:val="00E3283A"/>
    <w:rsid w:val="00E46565"/>
    <w:rsid w:val="00E74B64"/>
    <w:rsid w:val="00E82C82"/>
    <w:rsid w:val="00EB4108"/>
    <w:rsid w:val="00ED65DA"/>
    <w:rsid w:val="00EE1DDF"/>
    <w:rsid w:val="00EF4518"/>
    <w:rsid w:val="00F00B03"/>
    <w:rsid w:val="00F36F10"/>
    <w:rsid w:val="00F612C3"/>
    <w:rsid w:val="00FA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4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516E3"/>
    <w:pPr>
      <w:spacing w:before="120" w:after="120"/>
    </w:pPr>
    <w:rPr>
      <w:rFonts w:ascii="Arial" w:hAnsi="Arial"/>
      <w:b/>
      <w:bCs/>
      <w:caps/>
      <w:sz w:val="22"/>
      <w:szCs w:val="20"/>
      <w:lang w:eastAsia="en-US"/>
    </w:rPr>
  </w:style>
  <w:style w:type="paragraph" w:styleId="Header">
    <w:name w:val="header"/>
    <w:basedOn w:val="Normal"/>
    <w:link w:val="HeaderChar"/>
    <w:rsid w:val="00991BC9"/>
    <w:pPr>
      <w:tabs>
        <w:tab w:val="center" w:pos="4153"/>
        <w:tab w:val="right" w:pos="8306"/>
      </w:tabs>
    </w:pPr>
  </w:style>
  <w:style w:type="paragraph" w:styleId="Footer">
    <w:name w:val="footer"/>
    <w:basedOn w:val="Normal"/>
    <w:link w:val="FooterChar"/>
    <w:uiPriority w:val="99"/>
    <w:rsid w:val="00991BC9"/>
    <w:pPr>
      <w:tabs>
        <w:tab w:val="center" w:pos="4153"/>
        <w:tab w:val="right" w:pos="8306"/>
      </w:tabs>
    </w:pPr>
  </w:style>
  <w:style w:type="paragraph" w:styleId="ListParagraph">
    <w:name w:val="List Paragraph"/>
    <w:basedOn w:val="Normal"/>
    <w:uiPriority w:val="34"/>
    <w:qFormat/>
    <w:rsid w:val="0048464B"/>
    <w:pPr>
      <w:ind w:left="720"/>
    </w:pPr>
  </w:style>
  <w:style w:type="character" w:customStyle="1" w:styleId="HeaderChar">
    <w:name w:val="Header Char"/>
    <w:basedOn w:val="DefaultParagraphFont"/>
    <w:link w:val="Header"/>
    <w:rsid w:val="00DE4516"/>
    <w:rPr>
      <w:sz w:val="24"/>
      <w:szCs w:val="24"/>
    </w:rPr>
  </w:style>
  <w:style w:type="character" w:customStyle="1" w:styleId="FooterChar">
    <w:name w:val="Footer Char"/>
    <w:basedOn w:val="DefaultParagraphFont"/>
    <w:link w:val="Footer"/>
    <w:uiPriority w:val="99"/>
    <w:rsid w:val="00DE4516"/>
    <w:rPr>
      <w:sz w:val="24"/>
      <w:szCs w:val="24"/>
    </w:rPr>
  </w:style>
  <w:style w:type="paragraph" w:styleId="NoSpacing">
    <w:name w:val="No Spacing"/>
    <w:link w:val="NoSpacingChar"/>
    <w:uiPriority w:val="1"/>
    <w:qFormat/>
    <w:rsid w:val="00F36F10"/>
    <w:rPr>
      <w:rFonts w:ascii="Calibri" w:hAnsi="Calibri"/>
      <w:sz w:val="22"/>
      <w:szCs w:val="22"/>
      <w:lang w:val="en-US" w:eastAsia="en-US"/>
    </w:rPr>
  </w:style>
  <w:style w:type="character" w:customStyle="1" w:styleId="NoSpacingChar">
    <w:name w:val="No Spacing Char"/>
    <w:basedOn w:val="DefaultParagraphFont"/>
    <w:link w:val="NoSpacing"/>
    <w:uiPriority w:val="1"/>
    <w:rsid w:val="00F36F10"/>
    <w:rPr>
      <w:rFonts w:ascii="Calibri" w:eastAsia="Times New Roman" w:hAnsi="Calibri" w:cs="Times New Roman"/>
      <w:sz w:val="22"/>
      <w:szCs w:val="22"/>
      <w:lang w:val="en-US" w:eastAsia="en-US" w:bidi="ar-SA"/>
    </w:rPr>
  </w:style>
  <w:style w:type="paragraph" w:styleId="BalloonText">
    <w:name w:val="Balloon Text"/>
    <w:basedOn w:val="Normal"/>
    <w:link w:val="BalloonTextChar"/>
    <w:rsid w:val="00F36F10"/>
    <w:rPr>
      <w:rFonts w:ascii="Tahoma" w:hAnsi="Tahoma" w:cs="Tahoma"/>
      <w:sz w:val="16"/>
      <w:szCs w:val="16"/>
    </w:rPr>
  </w:style>
  <w:style w:type="character" w:customStyle="1" w:styleId="BalloonTextChar">
    <w:name w:val="Balloon Text Char"/>
    <w:basedOn w:val="DefaultParagraphFont"/>
    <w:link w:val="BalloonText"/>
    <w:rsid w:val="00F36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1522</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East Midlands Simulation Strategy </vt:lpstr>
    </vt:vector>
  </TitlesOfParts>
  <Company>NHS</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Midlands Simulation Strategy </dc:title>
  <dc:subject/>
  <dc:creator>NHS</dc:creator>
  <cp:keywords/>
  <dc:description/>
  <cp:lastModifiedBy>Beynon Liz (Q33) NHS East Midlands</cp:lastModifiedBy>
  <cp:revision>7</cp:revision>
  <cp:lastPrinted>2011-12-05T09:18:00Z</cp:lastPrinted>
  <dcterms:created xsi:type="dcterms:W3CDTF">2011-10-26T15:22:00Z</dcterms:created>
  <dcterms:modified xsi:type="dcterms:W3CDTF">2011-12-21T11:23:00Z</dcterms:modified>
</cp:coreProperties>
</file>